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120" w:afterAutospacing="0" w:line="187" w:lineRule="atLeast"/>
        <w:ind w:left="0" w:right="0" w:firstLine="482"/>
        <w:rPr>
          <w:rFonts w:ascii="微软雅黑" w:hAnsi="微软雅黑" w:eastAsia="微软雅黑" w:cs="微软雅黑"/>
          <w:b w:val="0"/>
          <w:i w:val="0"/>
          <w:caps w:val="0"/>
          <w:color w:val="666666"/>
          <w:spacing w:val="0"/>
          <w:sz w:val="16"/>
          <w:szCs w:val="16"/>
        </w:rPr>
      </w:pPr>
      <w:r>
        <w:rPr>
          <w:rFonts w:hint="eastAsia" w:ascii="宋体" w:hAnsi="宋体" w:eastAsia="宋体" w:cs="宋体"/>
          <w:b/>
          <w:i w:val="0"/>
          <w:caps w:val="0"/>
          <w:color w:val="666666"/>
          <w:spacing w:val="0"/>
          <w:sz w:val="18"/>
          <w:szCs w:val="18"/>
          <w:bdr w:val="none" w:color="auto" w:sz="0" w:space="0"/>
          <w:shd w:val="clear" w:fill="F9F9F9"/>
        </w:rPr>
        <w:t>引进计划</w:t>
      </w:r>
    </w:p>
    <w:tbl>
      <w:tblPr>
        <w:tblW w:w="8519" w:type="dxa"/>
        <w:jc w:val="center"/>
        <w:tblInd w:w="2" w:type="dxa"/>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
      <w:tblGrid>
        <w:gridCol w:w="478"/>
        <w:gridCol w:w="2226"/>
        <w:gridCol w:w="1437"/>
        <w:gridCol w:w="438"/>
        <w:gridCol w:w="655"/>
        <w:gridCol w:w="797"/>
        <w:gridCol w:w="2488"/>
      </w:tblGrid>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538" w:hRule="atLeast"/>
          <w:jc w:val="center"/>
        </w:trPr>
        <w:tc>
          <w:tcPr>
            <w:tcW w:w="478" w:type="dxa"/>
            <w:tcBorders>
              <w:top w:val="single" w:color="auto" w:sz="12" w:space="0"/>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eastAsia" w:ascii="微软雅黑" w:hAnsi="微软雅黑" w:eastAsia="微软雅黑" w:cs="微软雅黑"/>
              </w:rPr>
            </w:pPr>
            <w:r>
              <w:rPr>
                <w:rFonts w:hint="eastAsia" w:ascii="宋体" w:hAnsi="宋体" w:eastAsia="宋体" w:cs="宋体"/>
                <w:b/>
                <w:sz w:val="18"/>
                <w:szCs w:val="18"/>
                <w:bdr w:val="none" w:color="auto" w:sz="0" w:space="0"/>
              </w:rPr>
              <w:t>分院</w:t>
            </w:r>
          </w:p>
        </w:tc>
        <w:tc>
          <w:tcPr>
            <w:tcW w:w="2226" w:type="dxa"/>
            <w:tcBorders>
              <w:top w:val="single" w:color="auto" w:sz="12"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eastAsia" w:ascii="微软雅黑" w:hAnsi="微软雅黑" w:eastAsia="微软雅黑" w:cs="微软雅黑"/>
              </w:rPr>
            </w:pPr>
            <w:r>
              <w:rPr>
                <w:rFonts w:hint="eastAsia" w:ascii="宋体" w:hAnsi="宋体" w:eastAsia="宋体" w:cs="宋体"/>
                <w:b/>
                <w:sz w:val="18"/>
                <w:szCs w:val="18"/>
                <w:bdr w:val="none" w:color="auto" w:sz="0" w:space="0"/>
              </w:rPr>
              <w:t>所需专业</w:t>
            </w:r>
            <w:r>
              <w:rPr>
                <w:rFonts w:hint="eastAsia" w:ascii="微软雅黑" w:hAnsi="微软雅黑" w:eastAsia="微软雅黑" w:cs="微软雅黑"/>
                <w:b/>
                <w:sz w:val="18"/>
                <w:szCs w:val="18"/>
                <w:bdr w:val="none" w:color="auto" w:sz="0" w:space="0"/>
              </w:rPr>
              <w:t>/</w:t>
            </w:r>
            <w:r>
              <w:rPr>
                <w:rFonts w:hint="eastAsia" w:ascii="宋体" w:hAnsi="宋体" w:eastAsia="宋体" w:cs="宋体"/>
                <w:b/>
                <w:sz w:val="18"/>
                <w:szCs w:val="18"/>
                <w:bdr w:val="none" w:color="auto" w:sz="0" w:space="0"/>
              </w:rPr>
              <w:t>学科</w:t>
            </w:r>
            <w:r>
              <w:rPr>
                <w:rFonts w:hint="eastAsia" w:ascii="微软雅黑" w:hAnsi="微软雅黑" w:eastAsia="微软雅黑" w:cs="微软雅黑"/>
                <w:b/>
                <w:sz w:val="18"/>
                <w:szCs w:val="18"/>
                <w:bdr w:val="none" w:color="auto" w:sz="0" w:space="0"/>
              </w:rPr>
              <w:t>/</w:t>
            </w:r>
            <w:r>
              <w:rPr>
                <w:rFonts w:hint="eastAsia" w:ascii="宋体" w:hAnsi="宋体" w:eastAsia="宋体" w:cs="宋体"/>
                <w:b/>
                <w:sz w:val="18"/>
                <w:szCs w:val="18"/>
                <w:bdr w:val="none" w:color="auto" w:sz="0" w:space="0"/>
              </w:rPr>
              <w:t>门类</w:t>
            </w:r>
          </w:p>
        </w:tc>
        <w:tc>
          <w:tcPr>
            <w:tcW w:w="1437" w:type="dxa"/>
            <w:tcBorders>
              <w:top w:val="single" w:color="auto" w:sz="12"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eastAsia" w:ascii="微软雅黑" w:hAnsi="微软雅黑" w:eastAsia="微软雅黑" w:cs="微软雅黑"/>
              </w:rPr>
            </w:pPr>
            <w:r>
              <w:rPr>
                <w:rFonts w:hint="eastAsia" w:ascii="宋体" w:hAnsi="宋体" w:eastAsia="宋体" w:cs="宋体"/>
                <w:b/>
                <w:sz w:val="18"/>
                <w:szCs w:val="18"/>
                <w:bdr w:val="none" w:color="auto" w:sz="0" w:space="0"/>
              </w:rPr>
              <w:t>学位或职称</w:t>
            </w:r>
          </w:p>
        </w:tc>
        <w:tc>
          <w:tcPr>
            <w:tcW w:w="438" w:type="dxa"/>
            <w:tcBorders>
              <w:top w:val="single" w:color="auto" w:sz="12"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eastAsia" w:ascii="微软雅黑" w:hAnsi="微软雅黑" w:eastAsia="微软雅黑" w:cs="微软雅黑"/>
              </w:rPr>
            </w:pPr>
            <w:r>
              <w:rPr>
                <w:rFonts w:hint="eastAsia" w:ascii="宋体" w:hAnsi="宋体" w:eastAsia="宋体" w:cs="宋体"/>
                <w:b/>
                <w:sz w:val="18"/>
                <w:szCs w:val="18"/>
                <w:bdr w:val="none" w:color="auto" w:sz="0" w:space="0"/>
              </w:rPr>
              <w:t>人数</w:t>
            </w:r>
          </w:p>
        </w:tc>
        <w:tc>
          <w:tcPr>
            <w:tcW w:w="655" w:type="dxa"/>
            <w:tcBorders>
              <w:top w:val="single" w:color="auto" w:sz="12"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eastAsia" w:ascii="微软雅黑" w:hAnsi="微软雅黑" w:eastAsia="微软雅黑" w:cs="微软雅黑"/>
              </w:rPr>
            </w:pPr>
            <w:r>
              <w:rPr>
                <w:rFonts w:hint="eastAsia" w:ascii="宋体" w:hAnsi="宋体" w:eastAsia="宋体" w:cs="宋体"/>
                <w:b/>
                <w:sz w:val="18"/>
                <w:szCs w:val="18"/>
                <w:bdr w:val="none" w:color="auto" w:sz="0" w:space="0"/>
              </w:rPr>
              <w:t>合计人数</w:t>
            </w:r>
          </w:p>
        </w:tc>
        <w:tc>
          <w:tcPr>
            <w:tcW w:w="797" w:type="dxa"/>
            <w:tcBorders>
              <w:top w:val="single" w:color="auto" w:sz="12"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eastAsia" w:ascii="微软雅黑" w:hAnsi="微软雅黑" w:eastAsia="微软雅黑" w:cs="微软雅黑"/>
              </w:rPr>
            </w:pPr>
            <w:r>
              <w:rPr>
                <w:rFonts w:hint="eastAsia" w:ascii="宋体" w:hAnsi="宋体" w:eastAsia="宋体" w:cs="宋体"/>
                <w:b/>
                <w:sz w:val="18"/>
                <w:szCs w:val="18"/>
                <w:bdr w:val="none" w:color="auto" w:sz="0" w:space="0"/>
              </w:rPr>
              <w:t>年龄要求</w:t>
            </w:r>
          </w:p>
        </w:tc>
        <w:tc>
          <w:tcPr>
            <w:tcW w:w="2488" w:type="dxa"/>
            <w:tcBorders>
              <w:top w:val="single" w:color="auto" w:sz="12" w:space="0"/>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eastAsia" w:ascii="微软雅黑" w:hAnsi="微软雅黑" w:eastAsia="微软雅黑" w:cs="微软雅黑"/>
              </w:rPr>
            </w:pPr>
            <w:r>
              <w:rPr>
                <w:rFonts w:hint="eastAsia" w:ascii="宋体" w:hAnsi="宋体" w:eastAsia="宋体" w:cs="宋体"/>
                <w:b/>
                <w:sz w:val="18"/>
                <w:szCs w:val="18"/>
                <w:bdr w:val="none" w:color="auto" w:sz="0" w:space="0"/>
              </w:rPr>
              <w:t>其他要求</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restart"/>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信息与机电工程分院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机械工程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3</w:t>
            </w:r>
          </w:p>
        </w:tc>
        <w:tc>
          <w:tcPr>
            <w:tcW w:w="655"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10</w:t>
            </w:r>
          </w:p>
        </w:tc>
        <w:tc>
          <w:tcPr>
            <w:tcW w:w="797"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color w:val="212121"/>
                <w:sz w:val="18"/>
                <w:szCs w:val="18"/>
                <w:bdr w:val="none" w:color="auto" w:sz="0" w:space="0"/>
              </w:rPr>
              <w:t>具有正高级专业技术职务（资格）者，年龄</w:t>
            </w:r>
            <w:r>
              <w:rPr>
                <w:rFonts w:hint="eastAsia" w:ascii="微软雅黑" w:hAnsi="微软雅黑" w:eastAsia="微软雅黑" w:cs="微软雅黑"/>
                <w:color w:val="212121"/>
                <w:sz w:val="18"/>
                <w:szCs w:val="18"/>
                <w:bdr w:val="none" w:color="auto" w:sz="0" w:space="0"/>
              </w:rPr>
              <w:t>50</w:t>
            </w:r>
            <w:r>
              <w:rPr>
                <w:rFonts w:hint="eastAsia" w:ascii="宋体" w:hAnsi="宋体" w:eastAsia="宋体" w:cs="宋体"/>
                <w:color w:val="212121"/>
                <w:sz w:val="18"/>
                <w:szCs w:val="18"/>
                <w:bdr w:val="none" w:color="auto" w:sz="0" w:space="0"/>
              </w:rPr>
              <w:t>周岁以下；具有副高级专业技术职务（资格）者，年龄</w:t>
            </w:r>
            <w:r>
              <w:rPr>
                <w:rFonts w:hint="eastAsia" w:ascii="微软雅黑" w:hAnsi="微软雅黑" w:eastAsia="微软雅黑" w:cs="微软雅黑"/>
                <w:color w:val="212121"/>
                <w:sz w:val="18"/>
                <w:szCs w:val="18"/>
                <w:bdr w:val="none" w:color="auto" w:sz="0" w:space="0"/>
              </w:rPr>
              <w:t>45</w:t>
            </w:r>
            <w:r>
              <w:rPr>
                <w:rFonts w:hint="eastAsia" w:ascii="宋体" w:hAnsi="宋体" w:eastAsia="宋体" w:cs="宋体"/>
                <w:color w:val="212121"/>
                <w:sz w:val="18"/>
                <w:szCs w:val="18"/>
                <w:bdr w:val="none" w:color="auto" w:sz="0" w:space="0"/>
              </w:rPr>
              <w:t>周岁以下；博士研究生，年龄</w:t>
            </w:r>
            <w:r>
              <w:rPr>
                <w:rFonts w:hint="eastAsia" w:ascii="微软雅黑" w:hAnsi="微软雅黑" w:eastAsia="微软雅黑" w:cs="微软雅黑"/>
                <w:color w:val="212121"/>
                <w:sz w:val="18"/>
                <w:szCs w:val="18"/>
                <w:bdr w:val="none" w:color="auto" w:sz="0" w:space="0"/>
              </w:rPr>
              <w:t>40</w:t>
            </w:r>
            <w:r>
              <w:rPr>
                <w:rFonts w:hint="eastAsia" w:ascii="宋体" w:hAnsi="宋体" w:eastAsia="宋体" w:cs="宋体"/>
                <w:color w:val="212121"/>
                <w:sz w:val="18"/>
                <w:szCs w:val="18"/>
                <w:bdr w:val="none" w:color="auto" w:sz="0" w:space="0"/>
              </w:rPr>
              <w:t>周岁以下；硕士研究生，年龄</w:t>
            </w:r>
            <w:r>
              <w:rPr>
                <w:rFonts w:hint="eastAsia" w:ascii="微软雅黑" w:hAnsi="微软雅黑" w:eastAsia="微软雅黑" w:cs="微软雅黑"/>
                <w:color w:val="212121"/>
                <w:sz w:val="18"/>
                <w:szCs w:val="18"/>
                <w:bdr w:val="none" w:color="auto" w:sz="0" w:space="0"/>
              </w:rPr>
              <w:t>35</w:t>
            </w:r>
            <w:r>
              <w:rPr>
                <w:rFonts w:hint="eastAsia" w:ascii="宋体" w:hAnsi="宋体" w:eastAsia="宋体" w:cs="宋体"/>
                <w:color w:val="212121"/>
                <w:sz w:val="18"/>
                <w:szCs w:val="18"/>
                <w:bdr w:val="none" w:color="auto" w:sz="0" w:space="0"/>
              </w:rPr>
              <w:t>周岁以下。</w:t>
            </w: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本科毕业于机械工程</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机械制造及其自动化</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机械电子工程专业</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电气工程及其自动化</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电气工程与智能控制</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计算机科学与技术</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电子科学与技术</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控制科学与工程</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信息与通信工程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3</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▲计算机科学与技术/控制科学与工程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全日制两年以上硕士研究生</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本科毕业于计算机类专业</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restart"/>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color w:val="000000"/>
                <w:sz w:val="18"/>
                <w:szCs w:val="18"/>
                <w:bdr w:val="none" w:color="auto" w:sz="0" w:space="0"/>
              </w:rPr>
              <w:t>语言文学分院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中国语言文学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9</w:t>
            </w: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教育学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传播学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外国语言学及应用语言学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英语语言文学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4</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restart"/>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医药与健康分院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药学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中药学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7</w:t>
            </w: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化学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临床医学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基础医学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护理学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▲临床医学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基础医学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护理学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全日制两年以上硕士研究生</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本科毕业于临床医学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基础医学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护理学专业</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restart"/>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建筑工程分院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结构工程</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岩土工程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7</w:t>
            </w: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植物学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作物栽培学与耕作学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风景园林学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城市规划与设计</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环境科学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环境工程</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环境管理</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管理科学与工程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本科毕业于工程造价</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工程项目管理</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工程管理专业</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▲管理科学与工程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全日制两年以上硕士研究生</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c>
          <w:tcPr>
            <w:tcW w:w="797" w:type="dxa"/>
            <w:vMerge w:val="restart"/>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本科毕业于工程造价</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工程项目管理</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工程管理专业</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restart"/>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纺织服装与艺术设计分院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纺织科学与工程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5</w:t>
            </w: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服装设计与工程</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博士或高级职称</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设计学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▲设计学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全日制两年以上硕士研究生</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本科毕业于视觉传达设计</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环境设计专业，研究生阶段就读的学校应为国内外知名的专业院校（名单详见下注）</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restart"/>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经济管理分院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会计学、财务管理</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3</w:t>
            </w:r>
          </w:p>
        </w:tc>
        <w:tc>
          <w:tcPr>
            <w:tcW w:w="655"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8</w:t>
            </w: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管理科学与工程</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工商管理</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法学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通过国家司法考试</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应用经济学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▲计算机科学与技术</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管理科学与工程</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工商管理</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全日制两年以上硕士研究生</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本科毕业于工商管理类</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电子商务类专业</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马克思主义分院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思想政治教育</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78" w:type="dxa"/>
            <w:vMerge w:val="restart"/>
            <w:tcBorders>
              <w:top w:val="nil"/>
              <w:left w:val="single" w:color="auto" w:sz="12"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公共基础教育分院</w:t>
            </w: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基础数学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应用数学</w:t>
            </w:r>
            <w:r>
              <w:rPr>
                <w:rFonts w:hint="eastAsia" w:ascii="微软雅黑" w:hAnsi="微软雅黑" w:eastAsia="微软雅黑" w:cs="微软雅黑"/>
                <w:sz w:val="18"/>
                <w:szCs w:val="18"/>
                <w:bdr w:val="none" w:color="auto" w:sz="0" w:space="0"/>
              </w:rPr>
              <w:t>/</w:t>
            </w:r>
            <w:r>
              <w:rPr>
                <w:rFonts w:hint="eastAsia" w:ascii="宋体" w:hAnsi="宋体" w:eastAsia="宋体" w:cs="宋体"/>
                <w:sz w:val="18"/>
                <w:szCs w:val="18"/>
                <w:bdr w:val="none" w:color="auto" w:sz="0" w:space="0"/>
              </w:rPr>
              <w:t>概率论与数理统计</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博士或副教授或教授</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2</w:t>
            </w:r>
          </w:p>
        </w:tc>
        <w:tc>
          <w:tcPr>
            <w:tcW w:w="655"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3</w:t>
            </w: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0" w:type="dxa"/>
            <w:bottom w:w="0" w:type="dxa"/>
            <w:right w:w="0" w:type="dxa"/>
          </w:tblCellMar>
        </w:tblPrEx>
        <w:trPr>
          <w:cantSplit/>
          <w:trHeight w:val="353" w:hRule="atLeast"/>
          <w:jc w:val="center"/>
        </w:trPr>
        <w:tc>
          <w:tcPr>
            <w:tcW w:w="478" w:type="dxa"/>
            <w:vMerge w:val="continue"/>
            <w:tcBorders>
              <w:top w:val="nil"/>
              <w:left w:val="single" w:color="auto" w:sz="12" w:space="0"/>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22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▲体育教育训练学</w:t>
            </w:r>
          </w:p>
        </w:tc>
        <w:tc>
          <w:tcPr>
            <w:tcW w:w="14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全日制两年以上硕士研究生</w:t>
            </w:r>
          </w:p>
        </w:tc>
        <w:tc>
          <w:tcPr>
            <w:tcW w:w="43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1</w:t>
            </w:r>
          </w:p>
        </w:tc>
        <w:tc>
          <w:tcPr>
            <w:tcW w:w="655"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微软雅黑" w:hAnsi="微软雅黑" w:eastAsia="微软雅黑" w:cs="微软雅黑"/>
                <w:sz w:val="24"/>
                <w:szCs w:val="24"/>
              </w:rPr>
            </w:pPr>
          </w:p>
        </w:tc>
        <w:tc>
          <w:tcPr>
            <w:tcW w:w="797" w:type="dxa"/>
            <w:vMerge w:val="continue"/>
            <w:tcBorders>
              <w:top w:val="nil"/>
              <w:left w:val="nil"/>
              <w:bottom w:val="single" w:color="auto" w:sz="8" w:space="0"/>
              <w:right w:val="single" w:color="auto" w:sz="8" w:space="0"/>
            </w:tcBorders>
            <w:shd w:val="clear"/>
            <w:tcMar>
              <w:left w:w="108" w:type="dxa"/>
              <w:right w:w="108" w:type="dxa"/>
            </w:tcMar>
            <w:vAlign w:val="top"/>
          </w:tcPr>
          <w:p>
            <w:pPr>
              <w:rPr>
                <w:rFonts w:hint="eastAsia" w:ascii="微软雅黑" w:hAnsi="微软雅黑" w:eastAsia="微软雅黑" w:cs="微软雅黑"/>
                <w:sz w:val="24"/>
                <w:szCs w:val="24"/>
              </w:rPr>
            </w:pPr>
          </w:p>
        </w:tc>
        <w:tc>
          <w:tcPr>
            <w:tcW w:w="2488" w:type="dxa"/>
            <w:tcBorders>
              <w:top w:val="nil"/>
              <w:left w:val="nil"/>
              <w:bottom w:val="single" w:color="auto" w:sz="8"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本科毕业于体育学类专业，为健将级运动员者学历学位可放宽到本科学士；方向要求水上运动方向、男性</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353" w:hRule="atLeast"/>
          <w:jc w:val="center"/>
        </w:trPr>
        <w:tc>
          <w:tcPr>
            <w:tcW w:w="4141" w:type="dxa"/>
            <w:gridSpan w:val="3"/>
            <w:tcBorders>
              <w:top w:val="nil"/>
              <w:left w:val="single" w:color="auto" w:sz="12" w:space="0"/>
              <w:bottom w:val="single" w:color="auto" w:sz="12"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合计</w:t>
            </w:r>
          </w:p>
        </w:tc>
        <w:tc>
          <w:tcPr>
            <w:tcW w:w="1093" w:type="dxa"/>
            <w:gridSpan w:val="2"/>
            <w:tcBorders>
              <w:top w:val="nil"/>
              <w:left w:val="nil"/>
              <w:bottom w:val="single" w:color="auto" w:sz="12"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jc w:val="center"/>
              <w:rPr>
                <w:rFonts w:hint="eastAsia" w:ascii="微软雅黑" w:hAnsi="微软雅黑" w:eastAsia="微软雅黑" w:cs="微软雅黑"/>
              </w:rPr>
            </w:pPr>
            <w:r>
              <w:rPr>
                <w:rFonts w:hint="eastAsia" w:ascii="宋体" w:hAnsi="宋体" w:eastAsia="宋体" w:cs="宋体"/>
                <w:sz w:val="18"/>
                <w:szCs w:val="18"/>
                <w:bdr w:val="none" w:color="auto" w:sz="0" w:space="0"/>
              </w:rPr>
              <w:t>50</w:t>
            </w:r>
          </w:p>
        </w:tc>
        <w:tc>
          <w:tcPr>
            <w:tcW w:w="797" w:type="dxa"/>
            <w:tcBorders>
              <w:top w:val="nil"/>
              <w:left w:val="nil"/>
              <w:bottom w:val="single" w:color="auto" w:sz="12" w:space="0"/>
              <w:right w:val="single" w:color="auto" w:sz="8" w:space="0"/>
            </w:tcBorders>
            <w:shd w:val="clear"/>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c>
          <w:tcPr>
            <w:tcW w:w="2488" w:type="dxa"/>
            <w:tcBorders>
              <w:top w:val="nil"/>
              <w:left w:val="nil"/>
              <w:bottom w:val="single" w:color="auto" w:sz="12" w:space="0"/>
              <w:right w:val="single" w:color="auto" w:sz="12"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jc w:val="center"/>
              <w:rPr>
                <w:rFonts w:hint="eastAsia" w:ascii="微软雅黑" w:hAnsi="微软雅黑" w:eastAsia="微软雅黑" w:cs="微软雅黑"/>
              </w:rPr>
            </w:pPr>
            <w:r>
              <w:rPr>
                <w:rFonts w:hint="eastAsia" w:ascii="微软雅黑" w:hAnsi="微软雅黑" w:eastAsia="微软雅黑" w:cs="微软雅黑"/>
                <w:bdr w:val="none" w:color="auto" w:sz="0" w:space="0"/>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220" w:lineRule="atLeast"/>
        <w:ind w:left="0" w:right="0" w:firstLine="0"/>
        <w:jc w:val="left"/>
        <w:rPr>
          <w:rFonts w:hint="eastAsia" w:ascii="微软雅黑" w:hAnsi="微软雅黑" w:eastAsia="微软雅黑" w:cs="微软雅黑"/>
          <w:b w:val="0"/>
          <w:i w:val="0"/>
          <w:caps w:val="0"/>
          <w:color w:val="666666"/>
          <w:spacing w:val="0"/>
          <w:sz w:val="16"/>
          <w:szCs w:val="16"/>
        </w:rPr>
      </w:pPr>
      <w:r>
        <w:rPr>
          <w:rFonts w:hint="eastAsia" w:ascii="宋体" w:hAnsi="宋体" w:eastAsia="宋体" w:cs="宋体"/>
          <w:b w:val="0"/>
          <w:i w:val="0"/>
          <w:caps w:val="0"/>
          <w:color w:val="666666"/>
          <w:spacing w:val="0"/>
          <w:sz w:val="18"/>
          <w:szCs w:val="18"/>
          <w:bdr w:val="none" w:color="auto" w:sz="0" w:space="0"/>
          <w:shd w:val="clear" w:fill="F9F9F9"/>
        </w:rPr>
        <w:t>注：</w:t>
      </w:r>
      <w:r>
        <w:rPr>
          <w:rFonts w:hint="eastAsia" w:ascii="微软雅黑" w:hAnsi="微软雅黑" w:eastAsia="微软雅黑" w:cs="微软雅黑"/>
          <w:b w:val="0"/>
          <w:i w:val="0"/>
          <w:caps w:val="0"/>
          <w:color w:val="666666"/>
          <w:spacing w:val="0"/>
          <w:sz w:val="18"/>
          <w:szCs w:val="18"/>
          <w:bdr w:val="none" w:color="auto" w:sz="0" w:space="0"/>
          <w:shd w:val="clear" w:fill="F9F9F9"/>
        </w:rPr>
        <w:t>1、</w:t>
      </w:r>
      <w:r>
        <w:rPr>
          <w:rFonts w:hint="eastAsia" w:ascii="宋体" w:hAnsi="宋体" w:eastAsia="宋体" w:cs="宋体"/>
          <w:b w:val="0"/>
          <w:i w:val="0"/>
          <w:caps w:val="0"/>
          <w:color w:val="666666"/>
          <w:spacing w:val="0"/>
          <w:sz w:val="18"/>
          <w:szCs w:val="18"/>
          <w:bdr w:val="none" w:color="auto" w:sz="0" w:space="0"/>
          <w:shd w:val="clear" w:fill="F9F9F9"/>
        </w:rPr>
        <w:t>标注“▲”符号的为学院确定的紧缺专业或学科，我院将根据报名情况集中组织考试进行选拔，考试相关公告另行发布。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220" w:lineRule="atLeast"/>
        <w:ind w:left="0" w:right="0" w:firstLine="0"/>
        <w:jc w:val="left"/>
        <w:rPr>
          <w:rFonts w:hint="eastAsia" w:ascii="微软雅黑" w:hAnsi="微软雅黑" w:eastAsia="微软雅黑" w:cs="微软雅黑"/>
          <w:b w:val="0"/>
          <w:i w:val="0"/>
          <w:caps w:val="0"/>
          <w:color w:val="666666"/>
          <w:spacing w:val="0"/>
          <w:sz w:val="16"/>
          <w:szCs w:val="16"/>
        </w:rPr>
      </w:pPr>
      <w:r>
        <w:rPr>
          <w:rFonts w:hint="eastAsia" w:ascii="宋体" w:hAnsi="宋体" w:eastAsia="宋体" w:cs="宋体"/>
          <w:b w:val="0"/>
          <w:i w:val="0"/>
          <w:caps w:val="0"/>
          <w:color w:val="666666"/>
          <w:spacing w:val="0"/>
          <w:sz w:val="18"/>
          <w:szCs w:val="18"/>
          <w:bdr w:val="none" w:color="auto" w:sz="0" w:space="0"/>
          <w:shd w:val="clear" w:fill="F9F9F9"/>
        </w:rPr>
        <w:t>    2、纺织服装与艺术设计分院岗位对应的知名专业院校名单为中央美术学院、中国美术学院、广州美术学院、西安美术学院。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1E33D4"/>
    <w:rsid w:val="611E33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2017-09-12T02:18:00Z</dcterms:created>
  <dc:creator>ASUS</dc:creator>
  <cp:lastModifiedBy>ASUS</cp:lastModifiedBy>
  <dcterms:modified xsi:type="dcterms:W3CDTF">2017-09-12T02:18:32Z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