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03岗位招聘专业目录（参考）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财务会计类</w:t>
      </w:r>
      <w:r>
        <w:rPr>
          <w:rFonts w:hint="eastAsia" w:ascii="仿宋_GB2312" w:hAnsi="仿宋_GB2312" w:eastAsia="仿宋_GB2312" w:cs="仿宋_GB2312"/>
          <w:sz w:val="32"/>
          <w:szCs w:val="32"/>
        </w:rPr>
        <w:t>（含财务管理、大数据与财务管理、财务信息管理、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会计</w:t>
      </w:r>
      <w:r>
        <w:rPr>
          <w:rFonts w:hint="eastAsia" w:ascii="仿宋_GB2312" w:hAnsi="仿宋_GB2312" w:eastAsia="仿宋_GB2312" w:cs="仿宋_GB2312"/>
          <w:sz w:val="32"/>
          <w:szCs w:val="32"/>
        </w:rPr>
        <w:t>、大数据与会计、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涉外会计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财务电算化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会计学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会计电算化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审计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大数据与审计、统计实务、审计实务、会计与审计、会计信息管理、会计信息技术、市场调查与统计分析等专业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目录中未列入的专业或各高校新设专业，如与岗位要求的专业相近、相似的，由报考人员提供相应的学习课程等佐证资料，证明确实相近、相似的，本着“宜宽不宜窄、有利于人才选拔”的原则进行审查认定。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简小标宋">
    <w:altName w:val="宋体"/>
    <w:panose1 w:val="02010609000101010101"/>
    <w:charset w:val="00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C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500" w:lineRule="exact"/>
      <w:ind w:firstLine="420"/>
    </w:pPr>
    <w:rPr>
      <w:rFonts w:ascii="Times New Roman" w:hAnsi="Times New Roman" w:eastAsia="宋体" w:cs="Times New Roman"/>
      <w:sz w:val="28"/>
      <w:szCs w:val="20"/>
    </w:rPr>
  </w:style>
  <w:style w:type="paragraph" w:styleId="3">
    <w:name w:val="Body Text"/>
    <w:basedOn w:val="1"/>
    <w:next w:val="2"/>
    <w:qFormat/>
    <w:uiPriority w:val="0"/>
    <w:pPr>
      <w:jc w:val="center"/>
    </w:pPr>
    <w:rPr>
      <w:rFonts w:eastAsia="文星简小标宋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2023-10-16T09:26:30Z</dcterms:created>
  <dc:creator>Administrator</dc:creator>
  <cp:lastModifiedBy>xlling.</cp:lastModifiedBy>
  <dcterms:modified xsi:type="dcterms:W3CDTF">2023-10-16T09:27:12Z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35D1C92DDD9946E3952E57AA32CA3D28</vt:lpwstr>
  </property>
</Properties>
</file>