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6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 w:cs="仿宋"/>
          <w:b w:val="0"/>
          <w:bCs/>
          <w:i w:val="0"/>
          <w:caps w:val="0"/>
          <w:spacing w:val="0"/>
          <w:w w:val="100"/>
          <w:sz w:val="36"/>
          <w:szCs w:val="36"/>
          <w:lang w:bidi="ar-SA"/>
        </w:rPr>
      </w:pPr>
      <w:r>
        <w:rPr>
          <w:rFonts w:hint="eastAsia" w:ascii="方正小标宋简体" w:eastAsia="方正小标宋简体" w:cs="仿宋"/>
          <w:b w:val="0"/>
          <w:bCs/>
          <w:i w:val="0"/>
          <w:caps w:val="0"/>
          <w:spacing w:val="0"/>
          <w:w w:val="100"/>
          <w:sz w:val="36"/>
          <w:szCs w:val="36"/>
          <w:lang w:bidi="ar-SA"/>
        </w:rPr>
        <w:t>丽水市</w:t>
      </w:r>
      <w:r>
        <w:rPr>
          <w:rFonts w:hint="eastAsia" w:ascii="方正小标宋简体" w:eastAsia="方正小标宋简体" w:cs="仿宋"/>
          <w:b w:val="0"/>
          <w:bCs/>
          <w:i w:val="0"/>
          <w:caps w:val="0"/>
          <w:spacing w:val="0"/>
          <w:w w:val="100"/>
          <w:sz w:val="36"/>
          <w:szCs w:val="36"/>
          <w:lang w:eastAsia="zh-CN" w:bidi="ar-SA"/>
        </w:rPr>
        <w:t>莲都区国有资产投资经营有限公司</w:t>
      </w:r>
      <w:r>
        <w:rPr>
          <w:rFonts w:hint="eastAsia" w:ascii="方正小标宋简体" w:eastAsia="方正小标宋简体" w:cs="仿宋"/>
          <w:b w:val="0"/>
          <w:bCs/>
          <w:i w:val="0"/>
          <w:caps w:val="0"/>
          <w:spacing w:val="0"/>
          <w:w w:val="100"/>
          <w:sz w:val="36"/>
          <w:szCs w:val="36"/>
          <w:lang w:val="en-US" w:eastAsia="zh-CN" w:bidi="ar-SA"/>
        </w:rPr>
        <w:t>公开招聘工作人员</w:t>
      </w:r>
      <w:r>
        <w:rPr>
          <w:rFonts w:hint="eastAsia" w:ascii="方正小标宋简体" w:eastAsia="方正小标宋简体" w:cs="仿宋"/>
          <w:b w:val="0"/>
          <w:bCs/>
          <w:i w:val="0"/>
          <w:caps w:val="0"/>
          <w:spacing w:val="0"/>
          <w:w w:val="100"/>
          <w:sz w:val="36"/>
          <w:szCs w:val="36"/>
          <w:lang w:bidi="ar-SA"/>
        </w:rPr>
        <w:t>比选方案</w:t>
      </w:r>
    </w:p>
    <w:p>
      <w:pPr>
        <w:pStyle w:val="3"/>
        <w:keepLines w:val="0"/>
        <w:widowControl/>
        <w:snapToGrid/>
        <w:spacing w:before="0" w:beforeAutospacing="0" w:after="0" w:afterAutospacing="0" w:line="360" w:lineRule="exact"/>
        <w:jc w:val="center"/>
        <w:textAlignment w:val="baseline"/>
        <w:rPr>
          <w:rFonts w:hint="eastAsia" w:ascii="方正大标宋简体" w:eastAsia="方正大标宋简体"/>
          <w:b w:val="0"/>
          <w:i w:val="0"/>
          <w:caps w:val="0"/>
          <w:color w:val="000000"/>
          <w:spacing w:val="0"/>
          <w:w w:val="100"/>
          <w:sz w:val="36"/>
        </w:rPr>
      </w:pPr>
    </w:p>
    <w:tbl>
      <w:tblPr>
        <w:tblStyle w:val="10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900"/>
        <w:gridCol w:w="4583"/>
        <w:gridCol w:w="11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-SA"/>
              </w:rPr>
              <w:t>项   目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-SA"/>
              </w:rPr>
              <w:t>分值（分）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学历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1.</w:t>
            </w:r>
            <w:r>
              <w:rPr>
                <w:rFonts w:hint="eastAsia" w:ascii="宋体" w:cs="仿宋_GB2312"/>
                <w:b w:val="0"/>
                <w:i w:val="0"/>
                <w:caps w:val="0"/>
                <w:spacing w:val="0"/>
                <w:w w:val="100"/>
                <w:sz w:val="24"/>
                <w:lang w:bidi="ar-SA"/>
              </w:rPr>
              <w:t>全日制硕士研究生及以上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8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2.原“</w:t>
            </w: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985</w:t>
            </w: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”</w:t>
            </w: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“211”或“一流大学”全日制本科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5</w:t>
            </w:r>
          </w:p>
        </w:tc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  <w:t>与岗位匹配的工作年限</w:t>
            </w:r>
          </w:p>
        </w:tc>
        <w:tc>
          <w:tcPr>
            <w:tcW w:w="4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具有与岗位匹配的工作经历（得分标准为6年及以上1分；8年及以上得2分；10年及以上得5分）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-SA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职称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hAnsi="Times New Roman" w:eastAsia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具有符合免笔试条件的相关专业</w:t>
            </w:r>
            <w:r>
              <w:rPr>
                <w:rFonts w:hint="eastAsia" w:ascii="宋体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 w:bidi="ar-SA"/>
              </w:rPr>
              <w:t>副</w:t>
            </w:r>
            <w:r>
              <w:rPr>
                <w:rFonts w:hint="eastAsia" w:ascii="宋体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bidi="ar-SA"/>
              </w:rPr>
              <w:t>高级职称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5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hAnsi="Times New Roman" w:eastAsia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具有符合免笔试条件的相关专业</w:t>
            </w:r>
            <w:r>
              <w:rPr>
                <w:rFonts w:hint="eastAsia" w:ascii="宋体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bidi="ar-SA"/>
              </w:rPr>
              <w:t>正高级职称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Times New Roman" w:eastAsia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6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eastAsia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其它情况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-SA"/>
              </w:rPr>
              <w:t>中共党员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  <w:t>6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合 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58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bidi="ar-SA"/>
              </w:rPr>
            </w:pPr>
          </w:p>
        </w:tc>
      </w:tr>
    </w:tbl>
    <w:p>
      <w:pPr>
        <w:snapToGrid w:val="0"/>
        <w:spacing w:before="0" w:beforeAutospacing="0" w:after="0" w:afterAutospacing="0" w:line="5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18" w:right="1418" w:bottom="1418" w:left="153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  <w:lang w:val="en-US" w:eastAsia="zh-CN"/>
      </w:rPr>
      <w:t>1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g1MDRlYzIzN2E2NWRmNWRmZWMxODU3YmFmNDk3Y2QifQ=="/>
  </w:docVars>
  <w:rsids>
    <w:rsidRoot w:val="00000000"/>
    <w:rsid w:val="025B52EF"/>
    <w:rsid w:val="035F57DD"/>
    <w:rsid w:val="07CD02C0"/>
    <w:rsid w:val="08AC25CB"/>
    <w:rsid w:val="08CB07B0"/>
    <w:rsid w:val="0BD51E39"/>
    <w:rsid w:val="0C4D7C21"/>
    <w:rsid w:val="0D8F2027"/>
    <w:rsid w:val="0D9C2C0E"/>
    <w:rsid w:val="0F245E7C"/>
    <w:rsid w:val="10153FFB"/>
    <w:rsid w:val="12371157"/>
    <w:rsid w:val="16CD089E"/>
    <w:rsid w:val="18C841BC"/>
    <w:rsid w:val="1BBA5ABA"/>
    <w:rsid w:val="1D306ECF"/>
    <w:rsid w:val="1EFA7C30"/>
    <w:rsid w:val="23D20CE0"/>
    <w:rsid w:val="294D622E"/>
    <w:rsid w:val="2A7E571E"/>
    <w:rsid w:val="2C6170A5"/>
    <w:rsid w:val="39E2031E"/>
    <w:rsid w:val="40A315E2"/>
    <w:rsid w:val="45B20519"/>
    <w:rsid w:val="4B0C247A"/>
    <w:rsid w:val="50153B7F"/>
    <w:rsid w:val="509D5F83"/>
    <w:rsid w:val="55286102"/>
    <w:rsid w:val="5F0550B6"/>
    <w:rsid w:val="6155027F"/>
    <w:rsid w:val="672F1572"/>
    <w:rsid w:val="6C7D068A"/>
    <w:rsid w:val="70407C52"/>
    <w:rsid w:val="716263A8"/>
    <w:rsid w:val="78730105"/>
    <w:rsid w:val="7C60697E"/>
    <w:rsid w:val="7C863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  <w:jc w:val="both"/>
    </w:pPr>
    <w:rPr>
      <w:rFonts w:ascii="宋体" w:eastAsia="宋体" w:cs="宋体"/>
      <w:kern w:val="2"/>
      <w:sz w:val="29"/>
      <w:szCs w:val="29"/>
      <w:lang w:val="zh-CN" w:eastAsia="zh-CN" w:bidi="zh-CN"/>
    </w:rPr>
  </w:style>
  <w:style w:type="paragraph" w:styleId="6">
    <w:name w:val="Body Text Indent 2"/>
    <w:basedOn w:val="1"/>
    <w:next w:val="7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  <w:style w:type="paragraph" w:styleId="8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9">
    <w:name w:val="toc 1"/>
    <w:basedOn w:val="1"/>
    <w:next w:val="1"/>
    <w:qFormat/>
    <w:uiPriority w:val="0"/>
  </w:style>
  <w:style w:type="character" w:styleId="12">
    <w:name w:val="page number"/>
    <w:qFormat/>
    <w:uiPriority w:val="0"/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3">
    <w:name w:val="Table Paragraph"/>
    <w:basedOn w:val="1"/>
    <w:qFormat/>
    <w:uiPriority w:val="0"/>
    <w:pPr>
      <w:widowControl w:val="0"/>
      <w:jc w:val="both"/>
    </w:pPr>
    <w:rPr>
      <w:rFonts w:ascii="仿宋" w:eastAsia="仿宋" w:cs="仿宋"/>
      <w:kern w:val="2"/>
      <w:sz w:val="32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379</Words>
  <Characters>404</Characters>
  <Lines>51</Lines>
  <Paragraphs>32</Paragraphs>
  <TotalTime>1</TotalTime>
  <ScaleCrop>false</ScaleCrop>
  <LinksUpToDate>false</LinksUpToDate>
  <CharactersWithSpaces>413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Administrator</cp:lastModifiedBy>
  <cp:lastPrinted>2022-06-02T00:29:00Z</cp:lastPrinted>
  <dcterms:modified xsi:type="dcterms:W3CDTF">2023-05-04T02:40:16Z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4B8FAF5D0D2E4C30B1206AA5D11D7835</vt:lpwstr>
  </property>
</Properties>
</file>