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ind w:firstLine="723" w:firstLineChars="200"/>
        <w:jc w:val="center"/>
        <w:outlineLvl w:val="1"/>
        <w:rPr>
          <w:rFonts w:ascii="方正小标宋简体" w:hAnsi="Arial" w:eastAsia="方正小标宋简体" w:cs="Arial"/>
          <w:b/>
          <w:bCs/>
          <w:kern w:val="0"/>
          <w:sz w:val="36"/>
          <w:szCs w:val="36"/>
        </w:rPr>
      </w:pPr>
      <w:r>
        <w:rPr>
          <w:rFonts w:hint="eastAsia" w:ascii="方正小标宋简体" w:hAnsi="Arial" w:eastAsia="方正小标宋简体" w:cs="Arial"/>
          <w:b/>
          <w:bCs/>
          <w:kern w:val="0"/>
          <w:sz w:val="36"/>
          <w:szCs w:val="36"/>
        </w:rPr>
        <w:t>嘉兴市第一医院（嘉兴学院附属医院）2021年</w:t>
      </w:r>
    </w:p>
    <w:p>
      <w:pPr>
        <w:widowControl/>
        <w:shd w:val="clear" w:color="auto" w:fill="FFFFFF"/>
        <w:spacing w:line="440" w:lineRule="exact"/>
        <w:ind w:firstLine="723" w:firstLineChars="200"/>
        <w:jc w:val="center"/>
        <w:outlineLvl w:val="1"/>
        <w:rPr>
          <w:rFonts w:ascii="方正小标宋简体" w:hAnsi="Arial" w:eastAsia="方正小标宋简体" w:cs="Arial"/>
          <w:b/>
          <w:bCs/>
          <w:kern w:val="0"/>
          <w:sz w:val="36"/>
          <w:szCs w:val="36"/>
        </w:rPr>
      </w:pPr>
      <w:r>
        <w:rPr>
          <w:rFonts w:hint="eastAsia" w:ascii="方正小标宋简体" w:hAnsi="Arial" w:eastAsia="方正小标宋简体" w:cs="Arial"/>
          <w:b/>
          <w:bCs/>
          <w:kern w:val="0"/>
          <w:sz w:val="36"/>
          <w:szCs w:val="36"/>
        </w:rPr>
        <w:t>公开招聘高层次人才公告（第二批）</w:t>
      </w:r>
    </w:p>
    <w:p>
      <w:pPr>
        <w:widowControl/>
        <w:shd w:val="clear" w:color="auto" w:fill="FFFFFF"/>
        <w:spacing w:line="440" w:lineRule="exact"/>
        <w:ind w:firstLine="482" w:firstLineChars="200"/>
        <w:jc w:val="left"/>
        <w:outlineLvl w:val="1"/>
        <w:rPr>
          <w:rFonts w:ascii="Arial" w:hAnsi="Arial" w:eastAsia="宋体" w:cs="Arial"/>
          <w:b/>
          <w:bCs/>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因工作需要，经嘉兴市卫生健康委员会同意、嘉兴市人力资源和社会保障局备案，嘉兴市第一医院（嘉兴学院附属医院）决定面向社会公开招聘工作人员39名。现将有关事项公告如下：</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000000" w:themeColor="text1"/>
          <w:kern w:val="0"/>
          <w:sz w:val="32"/>
          <w:szCs w:val="32"/>
          <w:highlight w:val="none"/>
        </w:rPr>
      </w:pPr>
      <w:r>
        <w:rPr>
          <w:rFonts w:hint="eastAsia" w:ascii="黑体" w:hAnsi="黑体" w:eastAsia="黑体" w:cs="黑体"/>
          <w:b w:val="0"/>
          <w:bCs w:val="0"/>
          <w:color w:val="000000" w:themeColor="text1"/>
          <w:kern w:val="0"/>
          <w:sz w:val="32"/>
          <w:szCs w:val="32"/>
          <w:highlight w:val="none"/>
        </w:rPr>
        <w:t>一、单位简介</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嘉兴市第一医院（嘉兴学院附属医院）创建于1920年，是公益二类事业单位。目前为嘉兴市规模最大、设施齐全、技术力量雄厚的三级甲等综合性医院，是嘉兴市唯一的传染病、结核病、血吸虫病防治定点医院。医院核定床位1500张，实际开放床位1700多张。年门诊人次近180万，出院病人9.5万人次。在岗职工2356人，其中高级职称492人，具有硕士及以上学位人员448人。医院的重点学科数量居于全市首位，拥有1个省医学重点扶持学科（血吸虫病科），1个省中西医结合重点建设学科（疼痛科），1个省十三五中医药重点专科（针灸科），1个浙江省区域专病中心建设单位（浙北-麻醉科），4个省市共建医学重点扶植建设学科（消化科、病理科、疼痛医学、心血管病学-冠心病方向）；24个市重点学科（病理学、传染病学、风湿病学与自体免疫病学、呼吸病学、急诊医学、麻醉学、泌尿科外科学、消化病学、胸外科学、血液病学、肿瘤学、重症医学、骨外科学、临床药学、全科医学、神经病学、肾脏病学、医学影像学、肝胆外科学、临床护理学、临床检验诊断学、乳腺病学、针灸学、中西医结合皮肤病与性病学）、6个市重点科技创新团队、4个市重点实验室。医院还成为了首批国家住院医师规范化培训基地、全国综合医院中医药工作示范单位、浙江省基层卫生慢性病适宜技术示范基地、5个省基层卫生适宜技术成果转化工程推广示范基地。2018年通过国家药物临床试验机构（GCP）资格认定（全市唯一），同时推进卒中中心、创伤中心、急危重症中心、日间手术中心建设，成立了全市首个体外膜肺氧合（ECMO）抢救团队。2018年首届国家级公立医院绩效考核排名第137位，位列前11%。2019年8月，医院成为嘉兴学院直属附属医院，是集医疗、教学、预防、科研、康复为一体的嘉兴市医疗中心。</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b w:val="0"/>
          <w:bCs w:val="0"/>
          <w:color w:val="000000" w:themeColor="text1"/>
          <w:kern w:val="0"/>
          <w:sz w:val="32"/>
          <w:szCs w:val="32"/>
          <w:highlight w:val="none"/>
        </w:rPr>
      </w:pPr>
      <w:r>
        <w:rPr>
          <w:rFonts w:hint="eastAsia" w:ascii="黑体" w:hAnsi="黑体" w:eastAsia="黑体" w:cs="黑体"/>
          <w:b w:val="0"/>
          <w:bCs w:val="0"/>
          <w:color w:val="000000" w:themeColor="text1"/>
          <w:kern w:val="0"/>
          <w:sz w:val="32"/>
          <w:szCs w:val="32"/>
          <w:highlight w:val="none"/>
        </w:rPr>
        <w:t>二、招聘计划和要求</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本次公开招聘计划推出岗位26个，招聘工作人员39名。</w:t>
      </w:r>
    </w:p>
    <w:tbl>
      <w:tblPr>
        <w:tblStyle w:val="8"/>
        <w:tblW w:w="10633" w:type="dxa"/>
        <w:tblInd w:w="-318" w:type="dxa"/>
        <w:tblLayout w:type="fixed"/>
        <w:tblCellMar>
          <w:top w:w="0" w:type="dxa"/>
          <w:left w:w="108" w:type="dxa"/>
          <w:bottom w:w="0" w:type="dxa"/>
          <w:right w:w="108" w:type="dxa"/>
        </w:tblCellMar>
      </w:tblPr>
      <w:tblGrid>
        <w:gridCol w:w="710"/>
        <w:gridCol w:w="1701"/>
        <w:gridCol w:w="709"/>
        <w:gridCol w:w="3402"/>
        <w:gridCol w:w="1740"/>
        <w:gridCol w:w="1378"/>
        <w:gridCol w:w="993"/>
      </w:tblGrid>
      <w:tr>
        <w:tblPrEx>
          <w:tblCellMar>
            <w:top w:w="0" w:type="dxa"/>
            <w:left w:w="108" w:type="dxa"/>
            <w:bottom w:w="0" w:type="dxa"/>
            <w:right w:w="108" w:type="dxa"/>
          </w:tblCellMar>
        </w:tblPrEx>
        <w:trPr>
          <w:gridAfter w:val="1"/>
          <w:wAfter w:w="993" w:type="dxa"/>
          <w:trHeight w:val="465"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b/>
                <w:bCs/>
                <w:color w:val="000000" w:themeColor="text1"/>
                <w:kern w:val="0"/>
                <w:sz w:val="20"/>
                <w:szCs w:val="20"/>
                <w:highlight w:val="none"/>
              </w:rPr>
            </w:pPr>
            <w:r>
              <w:rPr>
                <w:rFonts w:hint="eastAsia" w:ascii="宋体" w:hAnsi="宋体" w:eastAsia="宋体" w:cs="宋体"/>
                <w:b/>
                <w:bCs/>
                <w:color w:val="000000" w:themeColor="text1"/>
                <w:kern w:val="0"/>
                <w:sz w:val="20"/>
                <w:szCs w:val="20"/>
                <w:highlight w:val="none"/>
              </w:rPr>
              <w:t>序号</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b/>
                <w:bCs/>
                <w:color w:val="000000" w:themeColor="text1"/>
                <w:kern w:val="0"/>
                <w:sz w:val="20"/>
                <w:szCs w:val="20"/>
                <w:highlight w:val="none"/>
              </w:rPr>
            </w:pPr>
            <w:r>
              <w:rPr>
                <w:rFonts w:hint="eastAsia" w:ascii="宋体" w:hAnsi="宋体" w:eastAsia="宋体" w:cs="宋体"/>
                <w:b/>
                <w:bCs/>
                <w:color w:val="000000" w:themeColor="text1"/>
                <w:kern w:val="0"/>
                <w:sz w:val="20"/>
                <w:szCs w:val="20"/>
                <w:highlight w:val="none"/>
              </w:rPr>
              <w:t>招聘岗位</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b/>
                <w:bCs/>
                <w:color w:val="000000" w:themeColor="text1"/>
                <w:kern w:val="0"/>
                <w:sz w:val="20"/>
                <w:szCs w:val="20"/>
                <w:highlight w:val="none"/>
              </w:rPr>
            </w:pPr>
            <w:r>
              <w:rPr>
                <w:rFonts w:hint="eastAsia" w:ascii="宋体" w:hAnsi="宋体" w:eastAsia="宋体" w:cs="宋体"/>
                <w:b/>
                <w:bCs/>
                <w:color w:val="000000" w:themeColor="text1"/>
                <w:kern w:val="0"/>
                <w:sz w:val="20"/>
                <w:szCs w:val="20"/>
                <w:highlight w:val="none"/>
              </w:rPr>
              <w:t>招聘人数</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b/>
                <w:bCs/>
                <w:color w:val="000000" w:themeColor="text1"/>
                <w:kern w:val="0"/>
                <w:sz w:val="20"/>
                <w:szCs w:val="20"/>
                <w:highlight w:val="none"/>
              </w:rPr>
            </w:pPr>
            <w:r>
              <w:rPr>
                <w:rFonts w:hint="eastAsia" w:ascii="宋体" w:hAnsi="宋体" w:eastAsia="宋体" w:cs="宋体"/>
                <w:b/>
                <w:bCs/>
                <w:color w:val="000000" w:themeColor="text1"/>
                <w:kern w:val="0"/>
                <w:sz w:val="20"/>
                <w:szCs w:val="20"/>
                <w:highlight w:val="none"/>
              </w:rPr>
              <w:t>专业/学科要求</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b/>
                <w:bCs/>
                <w:color w:val="000000" w:themeColor="text1"/>
                <w:kern w:val="0"/>
                <w:sz w:val="20"/>
                <w:szCs w:val="20"/>
                <w:highlight w:val="none"/>
              </w:rPr>
            </w:pPr>
            <w:r>
              <w:rPr>
                <w:rFonts w:hint="eastAsia" w:ascii="宋体" w:hAnsi="宋体" w:eastAsia="宋体" w:cs="宋体"/>
                <w:b/>
                <w:bCs/>
                <w:color w:val="000000" w:themeColor="text1"/>
                <w:kern w:val="0"/>
                <w:sz w:val="20"/>
                <w:szCs w:val="20"/>
                <w:highlight w:val="none"/>
              </w:rPr>
              <w:t>学历学位要求</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b/>
                <w:bCs/>
                <w:color w:val="000000" w:themeColor="text1"/>
                <w:kern w:val="0"/>
                <w:sz w:val="20"/>
                <w:szCs w:val="20"/>
                <w:highlight w:val="none"/>
              </w:rPr>
            </w:pPr>
            <w:r>
              <w:rPr>
                <w:rFonts w:hint="eastAsia" w:ascii="宋体" w:hAnsi="宋体" w:eastAsia="宋体" w:cs="宋体"/>
                <w:b/>
                <w:bCs/>
                <w:color w:val="000000" w:themeColor="text1"/>
                <w:kern w:val="0"/>
                <w:sz w:val="20"/>
                <w:szCs w:val="20"/>
                <w:highlight w:val="none"/>
              </w:rPr>
              <w:t>备注</w:t>
            </w:r>
          </w:p>
        </w:tc>
      </w:tr>
      <w:tr>
        <w:tblPrEx>
          <w:tblCellMar>
            <w:top w:w="0" w:type="dxa"/>
            <w:left w:w="108" w:type="dxa"/>
            <w:bottom w:w="0" w:type="dxa"/>
            <w:right w:w="108" w:type="dxa"/>
          </w:tblCellMar>
        </w:tblPrEx>
        <w:trPr>
          <w:gridAfter w:val="1"/>
          <w:wAfter w:w="993" w:type="dxa"/>
          <w:trHeight w:val="1409" w:hRule="atLeast"/>
        </w:trPr>
        <w:tc>
          <w:tcPr>
            <w:tcW w:w="710" w:type="dxa"/>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1</w:t>
            </w:r>
          </w:p>
        </w:tc>
        <w:tc>
          <w:tcPr>
            <w:tcW w:w="1701" w:type="dxa"/>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临床医技岗位                   （医师、技师、药师、护师）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bCs/>
                <w:color w:val="000000" w:themeColor="text1"/>
                <w:kern w:val="0"/>
                <w:sz w:val="20"/>
                <w:szCs w:val="20"/>
                <w:highlight w:val="none"/>
              </w:rPr>
            </w:pPr>
            <w:r>
              <w:rPr>
                <w:rFonts w:hint="eastAsia" w:ascii="宋体" w:hAnsi="宋体" w:eastAsia="宋体" w:cs="宋体"/>
                <w:bCs/>
                <w:color w:val="000000" w:themeColor="text1"/>
                <w:kern w:val="0"/>
                <w:sz w:val="20"/>
                <w:szCs w:val="20"/>
                <w:highlight w:val="none"/>
              </w:rPr>
              <w:t>10</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内科学、外科学、临床医学、急诊医学、妇产科学、皮肤病与性病学、麻醉学、免疫学、生物化学与分子生物学、临床检验诊断学、影像医学与核医学、护理学、生物学、生理学、遗传学</w:t>
            </w:r>
            <w:r>
              <w:rPr>
                <w:rFonts w:hint="eastAsia" w:ascii="宋体" w:hAnsi="宋体" w:eastAsia="宋体" w:cs="宋体"/>
                <w:color w:val="000000" w:themeColor="text1"/>
                <w:kern w:val="0"/>
                <w:sz w:val="20"/>
                <w:szCs w:val="20"/>
                <w:highlight w:val="none"/>
                <w:lang w:eastAsia="zh-CN"/>
              </w:rPr>
              <w:t>、药剂学、药理学</w:t>
            </w:r>
            <w:r>
              <w:rPr>
                <w:rFonts w:hint="eastAsia" w:ascii="宋体" w:hAnsi="宋体" w:eastAsia="宋体" w:cs="宋体"/>
                <w:color w:val="000000" w:themeColor="text1"/>
                <w:kern w:val="0"/>
                <w:sz w:val="20"/>
                <w:szCs w:val="20"/>
                <w:highlight w:val="none"/>
              </w:rPr>
              <w:t>等专业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研究生/博士</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b/>
                <w:bCs/>
                <w:color w:val="000000" w:themeColor="text1"/>
                <w:kern w:val="0"/>
                <w:sz w:val="22"/>
                <w:highlight w:val="none"/>
              </w:rPr>
            </w:pPr>
          </w:p>
        </w:tc>
      </w:tr>
      <w:tr>
        <w:tblPrEx>
          <w:tblCellMar>
            <w:top w:w="0" w:type="dxa"/>
            <w:left w:w="108" w:type="dxa"/>
            <w:bottom w:w="0" w:type="dxa"/>
            <w:right w:w="108" w:type="dxa"/>
          </w:tblCellMar>
        </w:tblPrEx>
        <w:trPr>
          <w:gridAfter w:val="1"/>
          <w:wAfter w:w="993" w:type="dxa"/>
          <w:trHeight w:val="509" w:hRule="atLeast"/>
        </w:trPr>
        <w:tc>
          <w:tcPr>
            <w:tcW w:w="710" w:type="dxa"/>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2</w:t>
            </w:r>
          </w:p>
        </w:tc>
        <w:tc>
          <w:tcPr>
            <w:tcW w:w="1701" w:type="dxa"/>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急诊科医师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1</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急诊医学、内科学（呼吸病学、心血管病学、重症医学方向）、临床医学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研究生/</w:t>
            </w:r>
          </w:p>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医学硕士</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b/>
                <w:bCs/>
                <w:color w:val="000000" w:themeColor="text1"/>
                <w:kern w:val="0"/>
                <w:sz w:val="22"/>
                <w:highlight w:val="none"/>
              </w:rPr>
            </w:pPr>
          </w:p>
        </w:tc>
      </w:tr>
      <w:tr>
        <w:tblPrEx>
          <w:tblCellMar>
            <w:top w:w="0" w:type="dxa"/>
            <w:left w:w="108" w:type="dxa"/>
            <w:bottom w:w="0" w:type="dxa"/>
            <w:right w:w="108" w:type="dxa"/>
          </w:tblCellMar>
        </w:tblPrEx>
        <w:trPr>
          <w:gridAfter w:val="1"/>
          <w:wAfter w:w="993" w:type="dxa"/>
          <w:trHeight w:val="340" w:hRule="atLeast"/>
        </w:trPr>
        <w:tc>
          <w:tcPr>
            <w:tcW w:w="710" w:type="dxa"/>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3</w:t>
            </w:r>
          </w:p>
        </w:tc>
        <w:tc>
          <w:tcPr>
            <w:tcW w:w="1701" w:type="dxa"/>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血液科医师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1</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内科学（血液病学方向）、临床医学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研究生/</w:t>
            </w:r>
          </w:p>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医学硕士</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rFonts w:ascii="宋体" w:hAnsi="宋体" w:eastAsia="宋体" w:cs="宋体"/>
                <w:color w:val="000000" w:themeColor="text1"/>
                <w:kern w:val="0"/>
                <w:sz w:val="22"/>
                <w:highlight w:val="none"/>
              </w:rPr>
            </w:pPr>
          </w:p>
        </w:tc>
      </w:tr>
      <w:tr>
        <w:tblPrEx>
          <w:tblCellMar>
            <w:top w:w="0" w:type="dxa"/>
            <w:left w:w="108" w:type="dxa"/>
            <w:bottom w:w="0" w:type="dxa"/>
            <w:right w:w="108" w:type="dxa"/>
          </w:tblCellMar>
        </w:tblPrEx>
        <w:trPr>
          <w:gridAfter w:val="1"/>
          <w:wAfter w:w="993" w:type="dxa"/>
          <w:trHeight w:val="340" w:hRule="atLeast"/>
        </w:trPr>
        <w:tc>
          <w:tcPr>
            <w:tcW w:w="710" w:type="dxa"/>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4</w:t>
            </w:r>
          </w:p>
        </w:tc>
        <w:tc>
          <w:tcPr>
            <w:tcW w:w="1701" w:type="dxa"/>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感染科医师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1</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内科学（感染病学方向）、临床医学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研究生/</w:t>
            </w:r>
          </w:p>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医学硕士</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rFonts w:ascii="宋体" w:hAnsi="宋体" w:eastAsia="宋体" w:cs="宋体"/>
                <w:color w:val="000000" w:themeColor="text1"/>
                <w:kern w:val="0"/>
                <w:sz w:val="22"/>
                <w:highlight w:val="none"/>
              </w:rPr>
            </w:pPr>
          </w:p>
        </w:tc>
      </w:tr>
      <w:tr>
        <w:tblPrEx>
          <w:tblCellMar>
            <w:top w:w="0" w:type="dxa"/>
            <w:left w:w="108" w:type="dxa"/>
            <w:bottom w:w="0" w:type="dxa"/>
            <w:right w:w="108" w:type="dxa"/>
          </w:tblCellMar>
        </w:tblPrEx>
        <w:trPr>
          <w:gridAfter w:val="1"/>
          <w:wAfter w:w="993" w:type="dxa"/>
          <w:trHeight w:val="340" w:hRule="atLeast"/>
        </w:trPr>
        <w:tc>
          <w:tcPr>
            <w:tcW w:w="710" w:type="dxa"/>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5</w:t>
            </w:r>
          </w:p>
        </w:tc>
        <w:tc>
          <w:tcPr>
            <w:tcW w:w="1701" w:type="dxa"/>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儿科医师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1</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儿科学、临床医学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研究生/</w:t>
            </w:r>
          </w:p>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医学硕士</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b/>
                <w:bCs/>
                <w:color w:val="000000" w:themeColor="text1"/>
                <w:kern w:val="0"/>
                <w:sz w:val="22"/>
                <w:highlight w:val="none"/>
              </w:rPr>
            </w:pPr>
          </w:p>
        </w:tc>
      </w:tr>
      <w:tr>
        <w:tblPrEx>
          <w:tblCellMar>
            <w:top w:w="0" w:type="dxa"/>
            <w:left w:w="108" w:type="dxa"/>
            <w:bottom w:w="0" w:type="dxa"/>
            <w:right w:w="108" w:type="dxa"/>
          </w:tblCellMar>
        </w:tblPrEx>
        <w:trPr>
          <w:gridAfter w:val="1"/>
          <w:wAfter w:w="993" w:type="dxa"/>
          <w:trHeight w:val="340" w:hRule="atLeast"/>
        </w:trPr>
        <w:tc>
          <w:tcPr>
            <w:tcW w:w="710" w:type="dxa"/>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6</w:t>
            </w:r>
          </w:p>
        </w:tc>
        <w:tc>
          <w:tcPr>
            <w:tcW w:w="1701" w:type="dxa"/>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肝胆胰外科医师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1</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外科学、临床医学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研究生/</w:t>
            </w:r>
          </w:p>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医学硕士</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b/>
                <w:bCs/>
                <w:color w:val="000000" w:themeColor="text1"/>
                <w:kern w:val="0"/>
                <w:sz w:val="22"/>
                <w:highlight w:val="none"/>
              </w:rPr>
            </w:pPr>
          </w:p>
        </w:tc>
      </w:tr>
      <w:tr>
        <w:tblPrEx>
          <w:tblCellMar>
            <w:top w:w="0" w:type="dxa"/>
            <w:left w:w="108" w:type="dxa"/>
            <w:bottom w:w="0" w:type="dxa"/>
            <w:right w:w="108" w:type="dxa"/>
          </w:tblCellMar>
        </w:tblPrEx>
        <w:trPr>
          <w:gridAfter w:val="1"/>
          <w:wAfter w:w="993" w:type="dxa"/>
          <w:trHeight w:val="340" w:hRule="atLeast"/>
        </w:trPr>
        <w:tc>
          <w:tcPr>
            <w:tcW w:w="710" w:type="dxa"/>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7</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头颈外科医师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1</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外科学、临床医学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研究生/</w:t>
            </w:r>
          </w:p>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医学硕士</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b/>
                <w:bCs/>
                <w:color w:val="000000" w:themeColor="text1"/>
                <w:kern w:val="0"/>
                <w:sz w:val="22"/>
                <w:highlight w:val="none"/>
              </w:rPr>
            </w:pPr>
          </w:p>
        </w:tc>
      </w:tr>
      <w:tr>
        <w:tblPrEx>
          <w:tblCellMar>
            <w:top w:w="0" w:type="dxa"/>
            <w:left w:w="108" w:type="dxa"/>
            <w:bottom w:w="0" w:type="dxa"/>
            <w:right w:w="108" w:type="dxa"/>
          </w:tblCellMar>
        </w:tblPrEx>
        <w:trPr>
          <w:gridAfter w:val="1"/>
          <w:wAfter w:w="993" w:type="dxa"/>
          <w:trHeight w:val="340" w:hRule="atLeast"/>
        </w:trPr>
        <w:tc>
          <w:tcPr>
            <w:tcW w:w="710" w:type="dxa"/>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8</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神经外科医师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1</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外科学（神经外科方向）、临床医学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研究生/</w:t>
            </w:r>
          </w:p>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医学硕士</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b/>
                <w:bCs/>
                <w:color w:val="000000" w:themeColor="text1"/>
                <w:kern w:val="0"/>
                <w:sz w:val="22"/>
                <w:highlight w:val="none"/>
              </w:rPr>
            </w:pPr>
          </w:p>
        </w:tc>
      </w:tr>
      <w:tr>
        <w:tblPrEx>
          <w:tblCellMar>
            <w:top w:w="0" w:type="dxa"/>
            <w:left w:w="108" w:type="dxa"/>
            <w:bottom w:w="0" w:type="dxa"/>
            <w:right w:w="108" w:type="dxa"/>
          </w:tblCellMar>
        </w:tblPrEx>
        <w:trPr>
          <w:gridAfter w:val="1"/>
          <w:wAfter w:w="993" w:type="dxa"/>
          <w:trHeight w:val="340" w:hRule="atLeast"/>
        </w:trPr>
        <w:tc>
          <w:tcPr>
            <w:tcW w:w="710" w:type="dxa"/>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9</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麻醉手术部医师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1</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麻醉学、临床医学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研究生/</w:t>
            </w:r>
          </w:p>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医学硕士</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b/>
                <w:bCs/>
                <w:color w:val="000000" w:themeColor="text1"/>
                <w:kern w:val="0"/>
                <w:sz w:val="22"/>
                <w:highlight w:val="none"/>
              </w:rPr>
            </w:pPr>
          </w:p>
        </w:tc>
      </w:tr>
      <w:tr>
        <w:tblPrEx>
          <w:tblCellMar>
            <w:top w:w="0" w:type="dxa"/>
            <w:left w:w="108" w:type="dxa"/>
            <w:bottom w:w="0" w:type="dxa"/>
            <w:right w:w="108" w:type="dxa"/>
          </w:tblCellMar>
        </w:tblPrEx>
        <w:trPr>
          <w:gridAfter w:val="1"/>
          <w:wAfter w:w="993" w:type="dxa"/>
          <w:trHeight w:val="340" w:hRule="atLeast"/>
        </w:trPr>
        <w:tc>
          <w:tcPr>
            <w:tcW w:w="710" w:type="dxa"/>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10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皮肤科医师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1</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皮肤病与性病学 　</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研究生/</w:t>
            </w:r>
          </w:p>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医学硕士</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b/>
                <w:bCs/>
                <w:color w:val="000000" w:themeColor="text1"/>
                <w:kern w:val="0"/>
                <w:sz w:val="22"/>
                <w:highlight w:val="none"/>
              </w:rPr>
            </w:pPr>
          </w:p>
        </w:tc>
      </w:tr>
      <w:tr>
        <w:tblPrEx>
          <w:tblCellMar>
            <w:top w:w="0" w:type="dxa"/>
            <w:left w:w="108" w:type="dxa"/>
            <w:bottom w:w="0" w:type="dxa"/>
            <w:right w:w="108" w:type="dxa"/>
          </w:tblCellMar>
        </w:tblPrEx>
        <w:trPr>
          <w:gridAfter w:val="1"/>
          <w:wAfter w:w="993" w:type="dxa"/>
          <w:trHeight w:val="340" w:hRule="atLeast"/>
        </w:trPr>
        <w:tc>
          <w:tcPr>
            <w:tcW w:w="710" w:type="dxa"/>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11</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口腔科医师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1</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口腔医学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研究生/</w:t>
            </w:r>
          </w:p>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医学硕士</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b/>
                <w:bCs/>
                <w:color w:val="000000" w:themeColor="text1"/>
                <w:kern w:val="0"/>
                <w:sz w:val="22"/>
                <w:highlight w:val="none"/>
              </w:rPr>
            </w:pPr>
          </w:p>
        </w:tc>
      </w:tr>
      <w:tr>
        <w:tblPrEx>
          <w:tblCellMar>
            <w:top w:w="0" w:type="dxa"/>
            <w:left w:w="108" w:type="dxa"/>
            <w:bottom w:w="0" w:type="dxa"/>
            <w:right w:w="108" w:type="dxa"/>
          </w:tblCellMar>
        </w:tblPrEx>
        <w:trPr>
          <w:gridAfter w:val="1"/>
          <w:wAfter w:w="993" w:type="dxa"/>
          <w:trHeight w:val="340" w:hRule="atLeast"/>
        </w:trPr>
        <w:tc>
          <w:tcPr>
            <w:tcW w:w="710" w:type="dxa"/>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12</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眼科医师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1</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临床医学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本科/</w:t>
            </w:r>
          </w:p>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医学学士</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rFonts w:ascii="宋体" w:hAnsi="宋体" w:eastAsia="宋体" w:cs="宋体"/>
                <w:bCs/>
                <w:color w:val="000000" w:themeColor="text1"/>
                <w:kern w:val="0"/>
                <w:sz w:val="22"/>
                <w:highlight w:val="none"/>
              </w:rPr>
            </w:pPr>
            <w:r>
              <w:rPr>
                <w:rFonts w:ascii="宋体" w:hAnsi="宋体" w:eastAsia="宋体" w:cs="宋体"/>
                <w:color w:val="000000" w:themeColor="text1"/>
                <w:kern w:val="0"/>
                <w:sz w:val="20"/>
                <w:szCs w:val="20"/>
                <w:highlight w:val="none"/>
              </w:rPr>
              <w:t xml:space="preserve">具有高级职称 </w:t>
            </w:r>
          </w:p>
        </w:tc>
      </w:tr>
      <w:tr>
        <w:tblPrEx>
          <w:tblCellMar>
            <w:top w:w="0" w:type="dxa"/>
            <w:left w:w="108" w:type="dxa"/>
            <w:bottom w:w="0" w:type="dxa"/>
            <w:right w:w="108" w:type="dxa"/>
          </w:tblCellMar>
        </w:tblPrEx>
        <w:trPr>
          <w:gridAfter w:val="1"/>
          <w:wAfter w:w="993" w:type="dxa"/>
          <w:trHeight w:val="340" w:hRule="atLeast"/>
        </w:trPr>
        <w:tc>
          <w:tcPr>
            <w:tcW w:w="710" w:type="dxa"/>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13</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耳鼻咽喉科医师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1</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耳鼻咽喉科学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研究生/</w:t>
            </w:r>
          </w:p>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医学硕士</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b/>
                <w:bCs/>
                <w:color w:val="000000" w:themeColor="text1"/>
                <w:kern w:val="0"/>
                <w:sz w:val="22"/>
                <w:highlight w:val="none"/>
              </w:rPr>
            </w:pPr>
          </w:p>
        </w:tc>
      </w:tr>
      <w:tr>
        <w:tblPrEx>
          <w:tblCellMar>
            <w:top w:w="0" w:type="dxa"/>
            <w:left w:w="108" w:type="dxa"/>
            <w:bottom w:w="0" w:type="dxa"/>
            <w:right w:w="108" w:type="dxa"/>
          </w:tblCellMar>
        </w:tblPrEx>
        <w:trPr>
          <w:gridAfter w:val="1"/>
          <w:wAfter w:w="993" w:type="dxa"/>
          <w:trHeight w:val="340" w:hRule="atLeast"/>
        </w:trPr>
        <w:tc>
          <w:tcPr>
            <w:tcW w:w="710" w:type="dxa"/>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14</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中医针灸科医师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1</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中医内科学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研究生/</w:t>
            </w:r>
          </w:p>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医学硕士</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b/>
                <w:bCs/>
                <w:color w:val="000000" w:themeColor="text1"/>
                <w:kern w:val="0"/>
                <w:sz w:val="22"/>
                <w:highlight w:val="none"/>
              </w:rPr>
            </w:pPr>
          </w:p>
        </w:tc>
      </w:tr>
      <w:tr>
        <w:tblPrEx>
          <w:tblCellMar>
            <w:top w:w="0" w:type="dxa"/>
            <w:left w:w="108" w:type="dxa"/>
            <w:bottom w:w="0" w:type="dxa"/>
            <w:right w:w="108" w:type="dxa"/>
          </w:tblCellMar>
        </w:tblPrEx>
        <w:trPr>
          <w:gridAfter w:val="1"/>
          <w:wAfter w:w="993" w:type="dxa"/>
          <w:trHeight w:val="340" w:hRule="atLeast"/>
        </w:trPr>
        <w:tc>
          <w:tcPr>
            <w:tcW w:w="710" w:type="dxa"/>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15</w:t>
            </w:r>
          </w:p>
        </w:tc>
        <w:tc>
          <w:tcPr>
            <w:tcW w:w="1701" w:type="dxa"/>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检验科技师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2</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临床检验诊断学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研究生/</w:t>
            </w:r>
          </w:p>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医学硕士</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2"/>
                <w:highlight w:val="none"/>
              </w:rPr>
            </w:pPr>
          </w:p>
        </w:tc>
      </w:tr>
      <w:tr>
        <w:tblPrEx>
          <w:tblCellMar>
            <w:top w:w="0" w:type="dxa"/>
            <w:left w:w="108" w:type="dxa"/>
            <w:bottom w:w="0" w:type="dxa"/>
            <w:right w:w="108" w:type="dxa"/>
          </w:tblCellMar>
        </w:tblPrEx>
        <w:trPr>
          <w:gridAfter w:val="1"/>
          <w:wAfter w:w="993" w:type="dxa"/>
          <w:trHeight w:val="340" w:hRule="atLeast"/>
        </w:trPr>
        <w:tc>
          <w:tcPr>
            <w:tcW w:w="710" w:type="dxa"/>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16</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营养科医师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1</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内科学、临床医学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研究生/</w:t>
            </w:r>
          </w:p>
          <w:p>
            <w:pPr>
              <w:widowControl/>
              <w:spacing w:line="220" w:lineRule="exact"/>
              <w:jc w:val="center"/>
              <w:rPr>
                <w:rFonts w:ascii="宋体" w:hAnsi="宋体" w:eastAsia="宋体" w:cs="宋体"/>
                <w:b/>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医学硕士</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p>
        </w:tc>
      </w:tr>
      <w:tr>
        <w:tblPrEx>
          <w:tblCellMar>
            <w:top w:w="0" w:type="dxa"/>
            <w:left w:w="108" w:type="dxa"/>
            <w:bottom w:w="0" w:type="dxa"/>
            <w:right w:w="108" w:type="dxa"/>
          </w:tblCellMar>
        </w:tblPrEx>
        <w:trPr>
          <w:gridAfter w:val="1"/>
          <w:wAfter w:w="993" w:type="dxa"/>
          <w:trHeight w:val="340" w:hRule="atLeast"/>
        </w:trPr>
        <w:tc>
          <w:tcPr>
            <w:tcW w:w="710" w:type="dxa"/>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17</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放射科医师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1</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影像医学与核医学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研究生/</w:t>
            </w:r>
          </w:p>
          <w:p>
            <w:pPr>
              <w:widowControl/>
              <w:spacing w:line="220" w:lineRule="exact"/>
              <w:jc w:val="center"/>
              <w:rPr>
                <w:rFonts w:ascii="宋体" w:hAnsi="宋体" w:eastAsia="宋体" w:cs="宋体"/>
                <w:b/>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医学硕士</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p>
        </w:tc>
      </w:tr>
      <w:tr>
        <w:tblPrEx>
          <w:tblCellMar>
            <w:top w:w="0" w:type="dxa"/>
            <w:left w:w="108" w:type="dxa"/>
            <w:bottom w:w="0" w:type="dxa"/>
            <w:right w:w="108" w:type="dxa"/>
          </w:tblCellMar>
        </w:tblPrEx>
        <w:trPr>
          <w:gridAfter w:val="1"/>
          <w:wAfter w:w="993" w:type="dxa"/>
          <w:trHeight w:val="340" w:hRule="atLeast"/>
        </w:trPr>
        <w:tc>
          <w:tcPr>
            <w:tcW w:w="710" w:type="dxa"/>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18</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病理科医师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1</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病理学与病理生理学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研究生/</w:t>
            </w:r>
          </w:p>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医学硕士</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本科为临床医学专业</w:t>
            </w:r>
          </w:p>
        </w:tc>
      </w:tr>
      <w:tr>
        <w:tblPrEx>
          <w:tblCellMar>
            <w:top w:w="0" w:type="dxa"/>
            <w:left w:w="108" w:type="dxa"/>
            <w:bottom w:w="0" w:type="dxa"/>
            <w:right w:w="108" w:type="dxa"/>
          </w:tblCellMar>
        </w:tblPrEx>
        <w:trPr>
          <w:gridAfter w:val="1"/>
          <w:wAfter w:w="993" w:type="dxa"/>
          <w:trHeight w:val="340" w:hRule="atLeast"/>
        </w:trPr>
        <w:tc>
          <w:tcPr>
            <w:tcW w:w="710" w:type="dxa"/>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19</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超声科医师</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1</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影像医学与核医学、临床医学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研究生/</w:t>
            </w:r>
          </w:p>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医学硕士</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2"/>
                <w:highlight w:val="none"/>
              </w:rPr>
            </w:pPr>
          </w:p>
        </w:tc>
      </w:tr>
      <w:tr>
        <w:tblPrEx>
          <w:tblCellMar>
            <w:top w:w="0" w:type="dxa"/>
            <w:left w:w="108" w:type="dxa"/>
            <w:bottom w:w="0" w:type="dxa"/>
            <w:right w:w="108" w:type="dxa"/>
          </w:tblCellMar>
        </w:tblPrEx>
        <w:trPr>
          <w:gridAfter w:val="1"/>
          <w:wAfter w:w="993" w:type="dxa"/>
          <w:trHeight w:val="340" w:hRule="atLeast"/>
        </w:trPr>
        <w:tc>
          <w:tcPr>
            <w:tcW w:w="710" w:type="dxa"/>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20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核医学科医师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1</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影像医学与核医学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研究生/</w:t>
            </w:r>
          </w:p>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医学硕士</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b/>
                <w:bCs/>
                <w:color w:val="000000" w:themeColor="text1"/>
                <w:kern w:val="0"/>
                <w:sz w:val="22"/>
                <w:highlight w:val="none"/>
              </w:rPr>
            </w:pPr>
          </w:p>
        </w:tc>
      </w:tr>
      <w:tr>
        <w:tblPrEx>
          <w:tblCellMar>
            <w:top w:w="0" w:type="dxa"/>
            <w:left w:w="108" w:type="dxa"/>
            <w:bottom w:w="0" w:type="dxa"/>
            <w:right w:w="108" w:type="dxa"/>
          </w:tblCellMar>
        </w:tblPrEx>
        <w:trPr>
          <w:gridAfter w:val="1"/>
          <w:wAfter w:w="993" w:type="dxa"/>
          <w:trHeight w:val="487" w:hRule="atLeast"/>
        </w:trPr>
        <w:tc>
          <w:tcPr>
            <w:tcW w:w="710" w:type="dxa"/>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21</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动脉硬化性疾病研究所</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1</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内科学（心血管病学方向</w:t>
            </w:r>
            <w:r>
              <w:rPr>
                <w:rFonts w:ascii="宋体" w:hAnsi="宋体" w:eastAsia="宋体" w:cs="宋体"/>
                <w:color w:val="000000" w:themeColor="text1"/>
                <w:kern w:val="0"/>
                <w:sz w:val="20"/>
                <w:szCs w:val="20"/>
                <w:highlight w:val="none"/>
              </w:rPr>
              <w:t>）、</w:t>
            </w:r>
            <w:r>
              <w:rPr>
                <w:rFonts w:hint="eastAsia" w:ascii="宋体" w:hAnsi="宋体" w:eastAsia="宋体" w:cs="宋体"/>
                <w:color w:val="000000" w:themeColor="text1"/>
                <w:kern w:val="0"/>
                <w:sz w:val="20"/>
                <w:szCs w:val="20"/>
                <w:highlight w:val="none"/>
              </w:rPr>
              <w:t>生物化学与分子生物学</w:t>
            </w:r>
            <w:r>
              <w:rPr>
                <w:rFonts w:ascii="宋体" w:hAnsi="宋体" w:eastAsia="宋体" w:cs="宋体"/>
                <w:color w:val="000000" w:themeColor="text1"/>
                <w:kern w:val="0"/>
                <w:sz w:val="20"/>
                <w:szCs w:val="20"/>
                <w:highlight w:val="none"/>
              </w:rPr>
              <w:t>、免疫学等基础医学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研究生/</w:t>
            </w:r>
          </w:p>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硕士</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2"/>
                <w:highlight w:val="none"/>
              </w:rPr>
            </w:pPr>
          </w:p>
        </w:tc>
      </w:tr>
      <w:tr>
        <w:tblPrEx>
          <w:tblCellMar>
            <w:top w:w="0" w:type="dxa"/>
            <w:left w:w="108" w:type="dxa"/>
            <w:bottom w:w="0" w:type="dxa"/>
            <w:right w:w="108" w:type="dxa"/>
          </w:tblCellMar>
        </w:tblPrEx>
        <w:trPr>
          <w:gridAfter w:val="1"/>
          <w:wAfter w:w="993" w:type="dxa"/>
          <w:trHeight w:val="340" w:hRule="atLeast"/>
        </w:trPr>
        <w:tc>
          <w:tcPr>
            <w:tcW w:w="710" w:type="dxa"/>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22</w:t>
            </w:r>
          </w:p>
        </w:tc>
        <w:tc>
          <w:tcPr>
            <w:tcW w:w="1701" w:type="dxa"/>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护理</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4</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护理学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研究生/</w:t>
            </w:r>
          </w:p>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硕士</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b/>
                <w:bCs/>
                <w:color w:val="000000" w:themeColor="text1"/>
                <w:kern w:val="0"/>
                <w:sz w:val="22"/>
                <w:highlight w:val="none"/>
              </w:rPr>
            </w:pPr>
          </w:p>
        </w:tc>
      </w:tr>
      <w:tr>
        <w:tblPrEx>
          <w:tblCellMar>
            <w:top w:w="0" w:type="dxa"/>
            <w:left w:w="108" w:type="dxa"/>
            <w:bottom w:w="0" w:type="dxa"/>
            <w:right w:w="108" w:type="dxa"/>
          </w:tblCellMar>
        </w:tblPrEx>
        <w:trPr>
          <w:trHeight w:val="506" w:hRule="atLeast"/>
        </w:trPr>
        <w:tc>
          <w:tcPr>
            <w:tcW w:w="710" w:type="dxa"/>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23</w:t>
            </w:r>
          </w:p>
        </w:tc>
        <w:tc>
          <w:tcPr>
            <w:tcW w:w="1701" w:type="dxa"/>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中心实验室</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1</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rFonts w:hint="eastAsia" w:ascii="宋体" w:hAnsi="宋体" w:eastAsia="宋体" w:cs="宋体"/>
                <w:color w:val="000000" w:themeColor="text1"/>
                <w:kern w:val="0"/>
                <w:sz w:val="20"/>
                <w:szCs w:val="20"/>
                <w:highlight w:val="none"/>
                <w:lang w:eastAsia="zh-CN"/>
              </w:rPr>
            </w:pPr>
            <w:r>
              <w:rPr>
                <w:rFonts w:hint="eastAsia" w:ascii="宋体" w:hAnsi="宋体" w:eastAsia="宋体" w:cs="宋体"/>
                <w:color w:val="000000" w:themeColor="text1"/>
                <w:kern w:val="0"/>
                <w:sz w:val="20"/>
                <w:szCs w:val="20"/>
                <w:highlight w:val="none"/>
              </w:rPr>
              <w:t>神经生物学、生理学、生物化学与分子生物学</w:t>
            </w:r>
            <w:r>
              <w:rPr>
                <w:rFonts w:hint="eastAsia" w:ascii="宋体" w:hAnsi="宋体" w:eastAsia="宋体" w:cs="宋体"/>
                <w:color w:val="000000" w:themeColor="text1"/>
                <w:kern w:val="0"/>
                <w:sz w:val="20"/>
                <w:szCs w:val="20"/>
                <w:highlight w:val="none"/>
                <w:lang w:eastAsia="zh-CN"/>
              </w:rPr>
              <w:t>、</w:t>
            </w:r>
            <w:r>
              <w:rPr>
                <w:rFonts w:ascii="宋体" w:hAnsi="宋体" w:eastAsia="宋体" w:cs="宋体"/>
                <w:color w:val="000000" w:themeColor="text1"/>
                <w:kern w:val="0"/>
                <w:sz w:val="20"/>
                <w:szCs w:val="20"/>
                <w:highlight w:val="none"/>
              </w:rPr>
              <w:t>免疫学等基础医学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研究生/</w:t>
            </w:r>
          </w:p>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硕士</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p>
        </w:tc>
        <w:tc>
          <w:tcPr>
            <w:tcW w:w="993" w:type="dxa"/>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　</w:t>
            </w:r>
          </w:p>
        </w:tc>
      </w:tr>
      <w:tr>
        <w:tblPrEx>
          <w:tblCellMar>
            <w:top w:w="0" w:type="dxa"/>
            <w:left w:w="108" w:type="dxa"/>
            <w:bottom w:w="0" w:type="dxa"/>
            <w:right w:w="108" w:type="dxa"/>
          </w:tblCellMar>
        </w:tblPrEx>
        <w:trPr>
          <w:gridAfter w:val="1"/>
          <w:wAfter w:w="993" w:type="dxa"/>
          <w:trHeight w:val="509" w:hRule="atLeast"/>
        </w:trPr>
        <w:tc>
          <w:tcPr>
            <w:tcW w:w="710" w:type="dxa"/>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24</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医务部工作人员</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1</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临床医学、公共卫生与预防医学、流行病与卫生统计学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研究生/</w:t>
            </w:r>
          </w:p>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硕士</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b/>
                <w:bCs/>
                <w:color w:val="000000" w:themeColor="text1"/>
                <w:kern w:val="0"/>
                <w:sz w:val="22"/>
                <w:highlight w:val="none"/>
              </w:rPr>
            </w:pPr>
          </w:p>
        </w:tc>
      </w:tr>
      <w:tr>
        <w:tblPrEx>
          <w:tblCellMar>
            <w:top w:w="0" w:type="dxa"/>
            <w:left w:w="108" w:type="dxa"/>
            <w:bottom w:w="0" w:type="dxa"/>
            <w:right w:w="108" w:type="dxa"/>
          </w:tblCellMar>
        </w:tblPrEx>
        <w:trPr>
          <w:gridAfter w:val="1"/>
          <w:wAfter w:w="993" w:type="dxa"/>
          <w:trHeight w:val="521" w:hRule="atLeast"/>
        </w:trPr>
        <w:tc>
          <w:tcPr>
            <w:tcW w:w="710" w:type="dxa"/>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25</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绩效管理部</w:t>
            </w:r>
          </w:p>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工作人员</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1</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社会医学与卫生事业管理</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研究生/</w:t>
            </w:r>
          </w:p>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硕士</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b/>
                <w:bCs/>
                <w:color w:val="000000" w:themeColor="text1"/>
                <w:kern w:val="0"/>
                <w:sz w:val="22"/>
                <w:highlight w:val="none"/>
              </w:rPr>
            </w:pPr>
          </w:p>
        </w:tc>
      </w:tr>
      <w:tr>
        <w:tblPrEx>
          <w:tblCellMar>
            <w:top w:w="0" w:type="dxa"/>
            <w:left w:w="108" w:type="dxa"/>
            <w:bottom w:w="0" w:type="dxa"/>
            <w:right w:w="108" w:type="dxa"/>
          </w:tblCellMar>
        </w:tblPrEx>
        <w:trPr>
          <w:gridAfter w:val="1"/>
          <w:wAfter w:w="993" w:type="dxa"/>
          <w:trHeight w:val="340" w:hRule="atLeast"/>
        </w:trPr>
        <w:tc>
          <w:tcPr>
            <w:tcW w:w="710" w:type="dxa"/>
            <w:tcBorders>
              <w:top w:val="single" w:color="000000" w:sz="4" w:space="0"/>
              <w:left w:val="single" w:color="000000" w:sz="4" w:space="0"/>
              <w:bottom w:val="nil"/>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26</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财务会计</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1</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会计学、审计</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研究生/</w:t>
            </w:r>
          </w:p>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硕士</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b/>
                <w:bCs/>
                <w:color w:val="000000" w:themeColor="text1"/>
                <w:kern w:val="0"/>
                <w:sz w:val="22"/>
                <w:highlight w:val="none"/>
              </w:rPr>
            </w:pPr>
          </w:p>
        </w:tc>
      </w:tr>
      <w:tr>
        <w:tblPrEx>
          <w:tblCellMar>
            <w:top w:w="0" w:type="dxa"/>
            <w:left w:w="108" w:type="dxa"/>
            <w:bottom w:w="0" w:type="dxa"/>
            <w:right w:w="108" w:type="dxa"/>
          </w:tblCellMar>
        </w:tblPrEx>
        <w:trPr>
          <w:gridAfter w:val="1"/>
          <w:wAfter w:w="993" w:type="dxa"/>
          <w:trHeight w:val="340"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r>
              <w:rPr>
                <w:rFonts w:hint="eastAsia" w:ascii="宋体" w:hAnsi="宋体" w:eastAsia="宋体" w:cs="宋体"/>
                <w:color w:val="000000" w:themeColor="text1"/>
                <w:kern w:val="0"/>
                <w:sz w:val="20"/>
                <w:szCs w:val="20"/>
                <w:highlight w:val="none"/>
              </w:rPr>
              <w:t>合计</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b/>
                <w:color w:val="000000" w:themeColor="text1"/>
                <w:kern w:val="0"/>
                <w:sz w:val="20"/>
                <w:szCs w:val="20"/>
                <w:highlight w:val="none"/>
              </w:rPr>
            </w:pPr>
            <w:r>
              <w:rPr>
                <w:rFonts w:hint="eastAsia" w:ascii="宋体" w:hAnsi="宋体" w:eastAsia="宋体" w:cs="宋体"/>
                <w:b/>
                <w:color w:val="000000" w:themeColor="text1"/>
                <w:kern w:val="0"/>
                <w:sz w:val="20"/>
                <w:szCs w:val="20"/>
                <w:highlight w:val="none"/>
              </w:rPr>
              <w:t>39</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color w:val="000000" w:themeColor="text1"/>
                <w:kern w:val="0"/>
                <w:sz w:val="20"/>
                <w:szCs w:val="20"/>
                <w:highlight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center"/>
              <w:rPr>
                <w:rFonts w:ascii="宋体" w:hAnsi="宋体" w:eastAsia="宋体" w:cs="宋体"/>
                <w:b/>
                <w:bCs/>
                <w:color w:val="000000" w:themeColor="text1"/>
                <w:kern w:val="0"/>
                <w:sz w:val="22"/>
                <w:highlight w:val="none"/>
              </w:rPr>
            </w:pPr>
          </w:p>
        </w:tc>
      </w:tr>
    </w:tbl>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b w:val="0"/>
          <w:bCs w:val="0"/>
          <w:color w:val="000000" w:themeColor="text1"/>
          <w:kern w:val="0"/>
          <w:sz w:val="32"/>
          <w:szCs w:val="32"/>
          <w:highlight w:val="none"/>
        </w:rPr>
      </w:pPr>
      <w:r>
        <w:rPr>
          <w:rFonts w:hint="eastAsia" w:ascii="黑体" w:hAnsi="黑体" w:eastAsia="黑体" w:cs="黑体"/>
          <w:b w:val="0"/>
          <w:bCs w:val="0"/>
          <w:color w:val="000000" w:themeColor="text1"/>
          <w:kern w:val="0"/>
          <w:sz w:val="32"/>
          <w:szCs w:val="32"/>
          <w:highlight w:val="none"/>
        </w:rPr>
        <w:t>三、招聘范围和条件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 xml:space="preserve"> 本次招聘在全国范围内面向社会（在职）人员或普通高校2021年应届毕业生，并具备下列条件：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（一）具有中华人民共和国国籍，有良好的政治思想素质，拥护党的路线、方针、政策。</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（二）具有良好的社会公德和职业道德，遵纪守法，品行端正，热爱本职工作，能吃苦耐劳。</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三）具有相应的专业知识和能力水平，符合招聘岗位所需的专业和学历学位等要求。社会人员报考的，学历、学位证书须于2021年5月17日前取得（留学人员须提供教育部中国留学服务中心出具的境外学历、学位认证书）；普通高校2021年应届毕业生报考的，学历、学位证书须于2021年8月31日前取得。</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（四）具有岗位要求的身体条件；年龄要求在35周岁及以下，即1985年5月17日以后出生（具有高级职称或博士研究生学历学位的，年龄放宽到45周岁及以下，即1975年5月17日以后出生）。</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（五）招聘岗位序号为1至15号的须提供2018年至今在省级及以上核心期刊发表或已录用（须提供杂志社录用证明）第一作者论文1篇及以上。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（六）具有大学六级英语等级证书（招聘岗位序号1至20号的需要，其他岗位不作要求）。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（七）有以下情形之一的不具备报考资格：</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1.曾因犯罪受过刑事处罚的或曾被开除公职的。</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2.涉嫌违法违纪正在接受纪检监察机关或者司法机关审查尚未作出结论的；受党纪、政务处分未满处分期限的。</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3.法律、法规规定的其他不得招聘为事业单位工作人员的。</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黑体" w:hAnsi="黑体" w:eastAsia="黑体" w:cs="黑体"/>
          <w:b w:val="0"/>
          <w:bCs w:val="0"/>
          <w:color w:val="000000" w:themeColor="text1"/>
          <w:kern w:val="0"/>
          <w:sz w:val="32"/>
          <w:szCs w:val="32"/>
          <w:highlight w:val="none"/>
          <w:lang w:val="en-US" w:eastAsia="zh-CN" w:bidi="ar-SA"/>
        </w:rPr>
        <w:t>四、招聘程序和办法</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本次公开招聘工作采取报名（资格审查）、考试、体检、考察、公示、聘用等程序进行。</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（一）报名及资格初审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rPr>
        <w:t>报名方式：</w:t>
      </w:r>
      <w:r>
        <w:rPr>
          <w:rFonts w:hint="eastAsia" w:ascii="仿宋_GB2312" w:hAnsi="仿宋_GB2312" w:eastAsia="仿宋_GB2312" w:cs="仿宋_GB2312"/>
          <w:color w:val="000000" w:themeColor="text1"/>
          <w:sz w:val="32"/>
          <w:szCs w:val="32"/>
          <w:highlight w:val="none"/>
        </w:rPr>
        <w:t xml:space="preserve"> 报名方式为邮寄（快递）报名，疫情防控期间，不受理现场报名。每人限报一个岗位。</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1. 邮寄（快递）报名时间：公告发布之日起至2021年5月17日止（以邮寄或快递寄出时间为准）。</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2. 邮寄（快递）报名方式：报名人员可通过扫描下方二维码提交报名信息，必须同时于规定报名时间内将报名材料邮寄（快递）至嘉兴市第一医院（嘉兴学院附属医院）5号楼行政楼3楼人事管理部（嘉兴市中环南路1882号）。如已在各高校双选会投递纸质简历的人员，请按照本公告时间再次按规定邮寄报名材料。材料原件可在后续环节审核（原件不要邮寄）。所提供材料不全或材料审核不符合报名条件的不得参加考试。</w:t>
      </w:r>
      <w:r>
        <w:rPr>
          <w:rFonts w:hint="eastAsia" w:ascii="仿宋_GB2312" w:hAnsi="仿宋_GB2312" w:eastAsia="仿宋_GB2312" w:cs="仿宋_GB2312"/>
          <w:b/>
          <w:bCs/>
          <w:color w:val="000000" w:themeColor="text1"/>
          <w:sz w:val="32"/>
          <w:szCs w:val="32"/>
          <w:highlight w:val="none"/>
        </w:rPr>
        <w:t>未进行报名登记、不在规定报名时间内邮寄（快递）材料或提交材料不全的均视为无效报名。</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3.报名登记信息二维码：</w:t>
      </w:r>
    </w:p>
    <w:p>
      <w:pPr>
        <w:pStyle w:val="7"/>
        <w:shd w:val="clear" w:color="auto" w:fill="FFFFFF"/>
        <w:spacing w:before="0" w:beforeAutospacing="0" w:after="0" w:afterAutospacing="0" w:line="720" w:lineRule="auto"/>
        <w:ind w:firstLine="480" w:firstLineChars="200"/>
        <w:jc w:val="center"/>
        <w:rPr>
          <w:color w:val="000000" w:themeColor="text1"/>
          <w:highlight w:val="none"/>
        </w:rPr>
      </w:pPr>
      <w:r>
        <w:rPr>
          <w:rFonts w:hint="eastAsia"/>
          <w:color w:val="000000" w:themeColor="text1"/>
          <w:highlight w:val="none"/>
        </w:rPr>
        <w:drawing>
          <wp:inline distT="0" distB="0" distL="114300" distR="114300">
            <wp:extent cx="2322830" cy="2200275"/>
            <wp:effectExtent l="19050" t="0" r="815" b="0"/>
            <wp:docPr id="1" name="图片 1" descr="高层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高层次"/>
                    <pic:cNvPicPr>
                      <a:picLocks noChangeAspect="1"/>
                    </pic:cNvPicPr>
                  </pic:nvPicPr>
                  <pic:blipFill>
                    <a:blip r:embed="rId5"/>
                    <a:stretch>
                      <a:fillRect/>
                    </a:stretch>
                  </pic:blipFill>
                  <pic:spPr>
                    <a:xfrm>
                      <a:off x="0" y="0"/>
                      <a:ext cx="2324100" cy="2201047"/>
                    </a:xfrm>
                    <a:prstGeom prst="rect">
                      <a:avLst/>
                    </a:prstGeom>
                  </pic:spPr>
                </pic:pic>
              </a:graphicData>
            </a:graphic>
          </wp:inline>
        </w:drawing>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4.报名材料</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（1）报名登记表（本人签名）一式一份（黏贴一寸正面免冠证件照）；</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（2）学历、学位证书</w:t>
      </w:r>
      <w:r>
        <w:rPr>
          <w:rFonts w:hint="eastAsia" w:ascii="仿宋_GB2312" w:hAnsi="仿宋_GB2312" w:eastAsia="仿宋_GB2312" w:cs="仿宋_GB2312"/>
          <w:color w:val="000000" w:themeColor="text1"/>
          <w:sz w:val="32"/>
          <w:szCs w:val="32"/>
          <w:highlight w:val="none"/>
          <w:lang w:eastAsia="zh-CN"/>
        </w:rPr>
        <w:t>的</w:t>
      </w:r>
      <w:r>
        <w:rPr>
          <w:rFonts w:hint="eastAsia" w:ascii="仿宋_GB2312" w:hAnsi="仿宋_GB2312" w:eastAsia="仿宋_GB2312" w:cs="仿宋_GB2312"/>
          <w:color w:val="000000" w:themeColor="text1"/>
          <w:sz w:val="32"/>
          <w:szCs w:val="32"/>
          <w:highlight w:val="none"/>
        </w:rPr>
        <w:t>复印件（普通高校2021年</w:t>
      </w:r>
      <w:r>
        <w:rPr>
          <w:rFonts w:hint="eastAsia" w:ascii="仿宋_GB2312" w:hAnsi="仿宋_GB2312" w:eastAsia="仿宋_GB2312" w:cs="仿宋_GB2312"/>
          <w:color w:val="000000" w:themeColor="text1"/>
          <w:sz w:val="32"/>
          <w:szCs w:val="32"/>
          <w:highlight w:val="none"/>
          <w:lang w:eastAsia="zh-CN"/>
        </w:rPr>
        <w:t>应届</w:t>
      </w:r>
      <w:r>
        <w:rPr>
          <w:rFonts w:hint="eastAsia" w:ascii="仿宋_GB2312" w:hAnsi="仿宋_GB2312" w:eastAsia="仿宋_GB2312" w:cs="仿宋_GB2312"/>
          <w:color w:val="000000" w:themeColor="text1"/>
          <w:sz w:val="32"/>
          <w:szCs w:val="32"/>
          <w:highlight w:val="none"/>
        </w:rPr>
        <w:t>毕业生未取得学历、学位证书可提供学校核发的就业推荐表、成绩单的复印件），留学人员报考须</w:t>
      </w:r>
      <w:r>
        <w:rPr>
          <w:rFonts w:hint="eastAsia" w:ascii="仿宋_GB2312" w:hAnsi="仿宋_GB2312" w:eastAsia="仿宋_GB2312" w:cs="仿宋_GB2312"/>
          <w:color w:val="000000" w:themeColor="text1"/>
          <w:sz w:val="32"/>
          <w:szCs w:val="32"/>
          <w:highlight w:val="none"/>
          <w:lang w:eastAsia="zh-CN"/>
        </w:rPr>
        <w:t>提供</w:t>
      </w:r>
      <w:r>
        <w:rPr>
          <w:rFonts w:hint="eastAsia" w:ascii="仿宋_GB2312" w:hAnsi="仿宋_GB2312" w:eastAsia="仿宋_GB2312" w:cs="仿宋_GB2312"/>
          <w:color w:val="000000" w:themeColor="text1"/>
          <w:sz w:val="32"/>
          <w:szCs w:val="32"/>
          <w:highlight w:val="none"/>
        </w:rPr>
        <w:t>教育部中国留学服务中心出具的境外学历、学位认证书的复印件；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（3）本人有效居民身份证复印件（正反两面）；</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rPr>
      </w:pPr>
      <w:r>
        <w:rPr>
          <w:rFonts w:hint="eastAsia" w:ascii="仿宋_GB2312" w:hAnsi="仿宋_GB2312" w:eastAsia="仿宋_GB2312" w:cs="仿宋_GB2312"/>
          <w:color w:val="000000" w:themeColor="text1"/>
          <w:sz w:val="32"/>
          <w:szCs w:val="32"/>
          <w:highlight w:val="none"/>
        </w:rPr>
        <w:t>（4）专业技术（执业）资格证书复印件（根据岗位要求提供）</w:t>
      </w:r>
      <w:r>
        <w:rPr>
          <w:rFonts w:hint="eastAsia" w:ascii="仿宋_GB2312" w:hAnsi="仿宋_GB2312" w:eastAsia="仿宋_GB2312" w:cs="仿宋_GB2312"/>
          <w:color w:val="000000" w:themeColor="text1"/>
          <w:sz w:val="32"/>
          <w:szCs w:val="32"/>
          <w:highlight w:val="none"/>
          <w:lang w:eastAsia="zh-CN"/>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rPr>
      </w:pPr>
      <w:r>
        <w:rPr>
          <w:rFonts w:hint="eastAsia" w:ascii="仿宋_GB2312" w:hAnsi="仿宋_GB2312" w:eastAsia="仿宋_GB2312" w:cs="仿宋_GB2312"/>
          <w:color w:val="000000" w:themeColor="text1"/>
          <w:sz w:val="32"/>
          <w:szCs w:val="32"/>
          <w:highlight w:val="none"/>
        </w:rPr>
        <w:t>（5）反映个人学术水平的论文（论文的封面、目录、正文、封底或提供杂志社录用证明及校样稿扫描件）、业绩的证明资料的复印件；SCI文章需同时提供正规有资质的检索机构出具的收录证明（招聘岗位序号为1至15号岗位的必须提交材料）</w:t>
      </w:r>
      <w:r>
        <w:rPr>
          <w:rFonts w:hint="eastAsia" w:ascii="仿宋_GB2312" w:hAnsi="仿宋_GB2312" w:eastAsia="仿宋_GB2312" w:cs="仿宋_GB2312"/>
          <w:color w:val="000000" w:themeColor="text1"/>
          <w:sz w:val="32"/>
          <w:szCs w:val="32"/>
          <w:highlight w:val="none"/>
          <w:lang w:eastAsia="zh-CN"/>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（6）六级英语等级证书复印件（招聘岗位序号1至20号的需要，其他岗位不作要求）；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（7）事业单位在编人员入围考察前须提供本单位同意报考证明原件。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5.资格初审。报名结束后，招聘单位根据招聘岗位所需条件对报名人员进行资格初审。各招聘岗位的资格初审、考试时间、地点安排将在医院官网进行公告。招聘岗位所需专业（学科）要求参考教育行政部门专业目录设置（审查），对应聘人员所学专业名称与专业要求不一致的，由招聘单位根据所学专业方向审核确定。</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应聘人员不得报考与招聘单位有《浙江省事业单位公开招聘人员暂行办法》第三十条所列回避情形的岗位。报名人员应对本人提交的信息和材料的真实性负责，凡提供虚假信息而通过资格条件审查的，一经查实，取消其聘用资格。</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（二）考试</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本次公开招聘考试由嘉兴市第一医院（嘉兴学院附属医院）组织实施。采取笔试、面试相结合的方式进行。</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1</w:t>
      </w:r>
      <w:r>
        <w:rPr>
          <w:rFonts w:hint="eastAsia" w:ascii="仿宋_GB2312" w:hAnsi="仿宋_GB2312" w:eastAsia="仿宋_GB2312" w:cs="仿宋_GB2312"/>
          <w:color w:val="000000" w:themeColor="text1"/>
          <w:sz w:val="32"/>
          <w:szCs w:val="32"/>
          <w:highlight w:val="none"/>
          <w:lang w:val="en-US" w:eastAsia="zh-CN"/>
        </w:rPr>
        <w:t>.</w:t>
      </w:r>
      <w:r>
        <w:rPr>
          <w:rFonts w:hint="eastAsia" w:ascii="仿宋_GB2312" w:hAnsi="仿宋_GB2312" w:eastAsia="仿宋_GB2312" w:cs="仿宋_GB2312"/>
          <w:color w:val="000000" w:themeColor="text1"/>
          <w:sz w:val="32"/>
          <w:szCs w:val="32"/>
          <w:highlight w:val="none"/>
        </w:rPr>
        <w:t>招聘岗位序号为1至24号：采取直接面试的方式进行，总成绩=面试成绩，面试成绩满分为100分，合格分为60分，面试不合格的不列入体检、考察对象。面试内容为相关专业知识以及分析解决问题能力，考试总成绩保留2位小数。</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eastAsia="仿宋_GB2312"/>
          <w:color w:val="000000"/>
          <w:sz w:val="32"/>
          <w:szCs w:val="32"/>
        </w:rPr>
      </w:pPr>
      <w:r>
        <w:rPr>
          <w:rFonts w:hint="eastAsia" w:ascii="仿宋_GB2312" w:hAnsi="仿宋_GB2312" w:eastAsia="仿宋_GB2312" w:cs="仿宋_GB2312"/>
          <w:color w:val="000000" w:themeColor="text1"/>
          <w:sz w:val="32"/>
          <w:szCs w:val="32"/>
          <w:highlight w:val="none"/>
        </w:rPr>
        <w:t>2</w:t>
      </w:r>
      <w:r>
        <w:rPr>
          <w:rFonts w:hint="eastAsia" w:ascii="仿宋_GB2312" w:hAnsi="仿宋_GB2312" w:eastAsia="仿宋_GB2312" w:cs="仿宋_GB2312"/>
          <w:color w:val="000000" w:themeColor="text1"/>
          <w:sz w:val="32"/>
          <w:szCs w:val="32"/>
          <w:highlight w:val="none"/>
          <w:lang w:val="en-US" w:eastAsia="zh-CN"/>
        </w:rPr>
        <w:t>.</w:t>
      </w:r>
      <w:r>
        <w:rPr>
          <w:rFonts w:hint="eastAsia" w:ascii="仿宋_GB2312" w:hAnsi="仿宋_GB2312" w:eastAsia="仿宋_GB2312" w:cs="仿宋_GB2312"/>
          <w:color w:val="000000" w:themeColor="text1"/>
          <w:sz w:val="32"/>
          <w:szCs w:val="32"/>
          <w:highlight w:val="none"/>
        </w:rPr>
        <w:t>招聘岗位序号为25至26号：</w:t>
      </w:r>
      <w:r>
        <w:rPr>
          <w:rFonts w:hint="eastAsia" w:ascii="仿宋_GB2312" w:eastAsia="仿宋_GB2312"/>
          <w:color w:val="auto"/>
          <w:sz w:val="32"/>
          <w:szCs w:val="32"/>
          <w:highlight w:val="none"/>
          <w:lang w:val="en-US" w:eastAsia="zh-CN"/>
        </w:rPr>
        <w:t>设置开考比例，</w:t>
      </w:r>
      <w:r>
        <w:rPr>
          <w:rFonts w:hint="eastAsia" w:ascii="仿宋_GB2312" w:eastAsia="仿宋_GB2312"/>
          <w:color w:val="000000"/>
          <w:sz w:val="32"/>
          <w:szCs w:val="32"/>
        </w:rPr>
        <w:t>同一岗位符合条件的报名人员不得低于招聘计划人数的2倍，不到规定比例的，取消招聘计划。</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同一岗位符合条件的报名人数（确认参加考试人数）超过招聘计划数10倍的，采</w:t>
      </w:r>
      <w:r>
        <w:rPr>
          <w:rFonts w:hint="eastAsia" w:ascii="仿宋_GB2312" w:hAnsi="仿宋_GB2312" w:eastAsia="仿宋_GB2312" w:cs="仿宋_GB2312"/>
          <w:color w:val="000000" w:themeColor="text1"/>
          <w:sz w:val="32"/>
          <w:szCs w:val="32"/>
          <w:highlight w:val="none"/>
          <w:lang w:eastAsia="zh-CN"/>
        </w:rPr>
        <w:t>取</w:t>
      </w:r>
      <w:r>
        <w:rPr>
          <w:rFonts w:hint="eastAsia" w:ascii="仿宋_GB2312" w:hAnsi="仿宋_GB2312" w:eastAsia="仿宋_GB2312" w:cs="仿宋_GB2312"/>
          <w:color w:val="000000" w:themeColor="text1"/>
          <w:sz w:val="32"/>
          <w:szCs w:val="32"/>
          <w:highlight w:val="none"/>
        </w:rPr>
        <w:t>笔试+面试方式进行，按招聘岗位笔试成绩从高分到低分1</w:t>
      </w:r>
      <w:r>
        <w:rPr>
          <w:rFonts w:hint="eastAsia" w:ascii="仿宋_GB2312" w:hAnsi="仿宋_GB2312" w:eastAsia="仿宋_GB2312" w:cs="仿宋_GB2312"/>
          <w:color w:val="000000" w:themeColor="text1"/>
          <w:sz w:val="32"/>
          <w:szCs w:val="32"/>
          <w:highlight w:val="none"/>
          <w:lang w:val="en-US" w:eastAsia="zh-CN"/>
        </w:rPr>
        <w:t>:</w:t>
      </w:r>
      <w:bookmarkStart w:id="0" w:name="_GoBack"/>
      <w:bookmarkEnd w:id="0"/>
      <w:r>
        <w:rPr>
          <w:rFonts w:hint="eastAsia" w:ascii="仿宋_GB2312" w:hAnsi="仿宋_GB2312" w:eastAsia="仿宋_GB2312" w:cs="仿宋_GB2312"/>
          <w:color w:val="000000" w:themeColor="text1"/>
          <w:sz w:val="32"/>
          <w:szCs w:val="32"/>
          <w:highlight w:val="none"/>
        </w:rPr>
        <w:t>3的比例确定（不足比例的，按实际人数确定）入围面试对象，总成绩=笔试成绩*50%+面试成绩*50%；同一岗位符合条件的报名人数（确认参加考试人数）不超过招聘计划数10倍（含10倍）</w:t>
      </w:r>
      <w:r>
        <w:rPr>
          <w:rFonts w:hint="eastAsia" w:ascii="仿宋_GB2312" w:hAnsi="仿宋_GB2312" w:eastAsia="仿宋_GB2312" w:cs="仿宋_GB2312"/>
          <w:color w:val="000000" w:themeColor="text1"/>
          <w:sz w:val="32"/>
          <w:szCs w:val="32"/>
          <w:highlight w:val="none"/>
          <w:lang w:eastAsia="zh-CN"/>
        </w:rPr>
        <w:t>的</w:t>
      </w:r>
      <w:r>
        <w:rPr>
          <w:rFonts w:hint="eastAsia" w:ascii="仿宋_GB2312" w:hAnsi="仿宋_GB2312" w:eastAsia="仿宋_GB2312" w:cs="仿宋_GB2312"/>
          <w:color w:val="000000" w:themeColor="text1"/>
          <w:sz w:val="32"/>
          <w:szCs w:val="32"/>
          <w:highlight w:val="none"/>
        </w:rPr>
        <w:t>，采</w:t>
      </w:r>
      <w:r>
        <w:rPr>
          <w:rFonts w:hint="eastAsia" w:ascii="仿宋_GB2312" w:hAnsi="仿宋_GB2312" w:eastAsia="仿宋_GB2312" w:cs="仿宋_GB2312"/>
          <w:color w:val="000000" w:themeColor="text1"/>
          <w:sz w:val="32"/>
          <w:szCs w:val="32"/>
          <w:highlight w:val="none"/>
          <w:lang w:eastAsia="zh-CN"/>
        </w:rPr>
        <w:t>取</w:t>
      </w:r>
      <w:r>
        <w:rPr>
          <w:rFonts w:hint="eastAsia" w:ascii="仿宋_GB2312" w:hAnsi="仿宋_GB2312" w:eastAsia="仿宋_GB2312" w:cs="仿宋_GB2312"/>
          <w:color w:val="000000" w:themeColor="text1"/>
          <w:sz w:val="32"/>
          <w:szCs w:val="32"/>
          <w:highlight w:val="none"/>
        </w:rPr>
        <w:t>直接面试方式，总成绩=面试成绩。笔试、面试总分均为100分，考试总成绩低于60分的人员不列为体检、考察对象。笔试内容为综合基础知识或相关专业知识，面试内容为相关专业知识以及分析解决问题能力，考试总成绩保留2位小数。</w:t>
      </w:r>
      <w:r>
        <w:rPr>
          <w:rFonts w:hint="eastAsia" w:ascii="仿宋_GB2312" w:hAnsi="仿宋_GB2312" w:eastAsia="仿宋_GB2312" w:cs="仿宋_GB2312"/>
          <w:color w:val="000000" w:themeColor="text1"/>
          <w:sz w:val="32"/>
          <w:szCs w:val="32"/>
          <w:highlight w:val="none"/>
        </w:rPr>
        <w:br w:type="textWrapping"/>
      </w:r>
      <w:r>
        <w:rPr>
          <w:rFonts w:hint="eastAsia" w:ascii="仿宋_GB2312" w:hAnsi="仿宋_GB2312" w:eastAsia="仿宋_GB2312" w:cs="仿宋_GB2312"/>
          <w:color w:val="000000" w:themeColor="text1"/>
          <w:sz w:val="32"/>
          <w:szCs w:val="32"/>
          <w:highlight w:val="none"/>
        </w:rPr>
        <w:t xml:space="preserve">    3</w:t>
      </w:r>
      <w:r>
        <w:rPr>
          <w:rFonts w:hint="eastAsia" w:ascii="仿宋_GB2312" w:hAnsi="仿宋_GB2312" w:eastAsia="仿宋_GB2312" w:cs="仿宋_GB2312"/>
          <w:color w:val="000000" w:themeColor="text1"/>
          <w:sz w:val="32"/>
          <w:szCs w:val="32"/>
          <w:highlight w:val="none"/>
          <w:lang w:val="en-US" w:eastAsia="zh-CN"/>
        </w:rPr>
        <w:t>.</w:t>
      </w:r>
      <w:r>
        <w:rPr>
          <w:rFonts w:hint="eastAsia" w:ascii="仿宋_GB2312" w:hAnsi="仿宋_GB2312" w:eastAsia="仿宋_GB2312" w:cs="仿宋_GB2312"/>
          <w:color w:val="000000" w:themeColor="text1"/>
          <w:sz w:val="32"/>
          <w:szCs w:val="32"/>
          <w:highlight w:val="none"/>
        </w:rPr>
        <w:t>笔试、面试时间及地点均另行通知，不按规定的时间和地点参加笔试、面试的，视作放弃。</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如因疫情防控需要，需改变考试方式的，将提前在嘉兴市第一医院网站（</w:t>
      </w:r>
      <w:r>
        <w:rPr>
          <w:rFonts w:hint="eastAsia" w:ascii="仿宋_GB2312" w:hAnsi="仿宋_GB2312" w:eastAsia="仿宋_GB2312" w:cs="仿宋_GB2312"/>
          <w:color w:val="000000" w:themeColor="text1"/>
          <w:sz w:val="32"/>
          <w:szCs w:val="32"/>
          <w:highlight w:val="none"/>
        </w:rPr>
        <w:fldChar w:fldCharType="begin"/>
      </w:r>
      <w:r>
        <w:rPr>
          <w:rFonts w:hint="eastAsia" w:ascii="仿宋_GB2312" w:hAnsi="仿宋_GB2312" w:eastAsia="仿宋_GB2312" w:cs="仿宋_GB2312"/>
          <w:color w:val="000000" w:themeColor="text1"/>
          <w:sz w:val="32"/>
          <w:szCs w:val="32"/>
          <w:highlight w:val="none"/>
        </w:rPr>
        <w:instrText xml:space="preserve"> HYPERLINK "http://www.jxdyyy.com/" </w:instrText>
      </w:r>
      <w:r>
        <w:rPr>
          <w:rFonts w:hint="eastAsia" w:ascii="仿宋_GB2312" w:hAnsi="仿宋_GB2312" w:eastAsia="仿宋_GB2312" w:cs="仿宋_GB2312"/>
          <w:color w:val="000000" w:themeColor="text1"/>
          <w:sz w:val="32"/>
          <w:szCs w:val="32"/>
          <w:highlight w:val="none"/>
        </w:rPr>
        <w:fldChar w:fldCharType="separate"/>
      </w:r>
      <w:r>
        <w:rPr>
          <w:rStyle w:val="11"/>
          <w:rFonts w:hint="eastAsia" w:ascii="仿宋_GB2312" w:hAnsi="仿宋_GB2312" w:eastAsia="仿宋_GB2312" w:cs="仿宋_GB2312"/>
          <w:color w:val="000000" w:themeColor="text1"/>
          <w:sz w:val="32"/>
          <w:szCs w:val="32"/>
          <w:highlight w:val="none"/>
        </w:rPr>
        <w:t>http://www.jxdyyy.com/</w:t>
      </w:r>
      <w:r>
        <w:rPr>
          <w:rStyle w:val="11"/>
          <w:rFonts w:hint="eastAsia" w:ascii="仿宋_GB2312" w:hAnsi="仿宋_GB2312" w:eastAsia="仿宋_GB2312" w:cs="仿宋_GB2312"/>
          <w:color w:val="000000" w:themeColor="text1"/>
          <w:sz w:val="32"/>
          <w:szCs w:val="32"/>
          <w:highlight w:val="none"/>
        </w:rPr>
        <w:fldChar w:fldCharType="end"/>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highlight w:val="none"/>
          <w:lang w:eastAsia="zh-CN"/>
        </w:rPr>
        <w:t>发布信息</w:t>
      </w:r>
      <w:r>
        <w:rPr>
          <w:rFonts w:hint="eastAsia" w:ascii="仿宋_GB2312" w:hAnsi="仿宋_GB2312" w:eastAsia="仿宋_GB2312" w:cs="仿宋_GB2312"/>
          <w:color w:val="000000" w:themeColor="text1"/>
          <w:sz w:val="32"/>
          <w:szCs w:val="32"/>
          <w:highlight w:val="none"/>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（三）体检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 根据考试总成绩，从高分到低分按照招聘计划的1:1比例确定体检对象。体检参照《公务员录用体检通用标准(试行)》执行，体检合格者确定为考察对象。应聘人员不按规定的时间、地点参加体检，视作放弃体检资格。</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（四）考察</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 考察工作参照公务员考录考察工作的办法进行。主要对体检合格的人员进行资格条件的复核和德、能、勤、绩、廉以及需要回避的情况等考察，考察不合格不予聘用。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（五）公示</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 xml:space="preserve"> 经体检、考察均合格的人员，确定为拟聘用人员，拟聘用人员名单在嘉兴市卫生健康委员会网站上公示7个工作日。公示期满，对拟聘用人员没有异议或反映有问题经查实不影响聘用的，招聘单位按规定办理聘用手续。</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应聘人员在体检、考察、公示环节出现不合格的或自愿放弃的，由招聘单位研究决定是否安排递补，需要递补的则按招聘岗位考试</w:t>
      </w:r>
      <w:r>
        <w:rPr>
          <w:rFonts w:hint="eastAsia" w:ascii="仿宋_GB2312" w:hAnsi="仿宋_GB2312" w:eastAsia="仿宋_GB2312" w:cs="仿宋_GB2312"/>
          <w:color w:val="000000" w:themeColor="text1"/>
          <w:sz w:val="32"/>
          <w:szCs w:val="32"/>
          <w:highlight w:val="none"/>
          <w:lang w:eastAsia="zh-CN"/>
        </w:rPr>
        <w:t>总</w:t>
      </w:r>
      <w:r>
        <w:rPr>
          <w:rFonts w:hint="eastAsia" w:ascii="仿宋_GB2312" w:hAnsi="仿宋_GB2312" w:eastAsia="仿宋_GB2312" w:cs="仿宋_GB2312"/>
          <w:color w:val="000000" w:themeColor="text1"/>
          <w:sz w:val="32"/>
          <w:szCs w:val="32"/>
          <w:highlight w:val="none"/>
        </w:rPr>
        <w:t>成绩从高分到低分依次进行。</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（六）聘用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拟聘用人员无正当理由未在规定时间内报到的，取消聘用资格 。普通高校2021年</w:t>
      </w:r>
      <w:r>
        <w:rPr>
          <w:rFonts w:hint="eastAsia" w:ascii="仿宋_GB2312" w:hAnsi="仿宋_GB2312" w:eastAsia="仿宋_GB2312" w:cs="仿宋_GB2312"/>
          <w:color w:val="000000" w:themeColor="text1"/>
          <w:sz w:val="32"/>
          <w:szCs w:val="32"/>
          <w:highlight w:val="none"/>
          <w:lang w:eastAsia="zh-CN"/>
        </w:rPr>
        <w:t>应届</w:t>
      </w:r>
      <w:r>
        <w:rPr>
          <w:rFonts w:hint="eastAsia" w:ascii="仿宋_GB2312" w:hAnsi="仿宋_GB2312" w:eastAsia="仿宋_GB2312" w:cs="仿宋_GB2312"/>
          <w:color w:val="000000" w:themeColor="text1"/>
          <w:sz w:val="32"/>
          <w:szCs w:val="32"/>
          <w:highlight w:val="none"/>
        </w:rPr>
        <w:t>毕业生（须于2021年8月31日前取得学历、学位证书）按毕业生报到程序办理，不能按时毕业或未取得招聘岗位规定的学历、学位证书的，取消聘用资格。社会人员办理报到前须与原单位解除劳动（聘用）合同。</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聘用人员列入事业编制报备员额管理，与招聘单位签订事业单位聘用合同，并按规定约定试用期。试用期满后，考核合格者，予以正式聘用；不合格的，取消聘用。聘用人员享受国家规定的事业单位工资待遇和各种规定保险。</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b w:val="0"/>
          <w:bCs w:val="0"/>
          <w:color w:val="000000" w:themeColor="text1"/>
          <w:kern w:val="0"/>
          <w:sz w:val="32"/>
          <w:szCs w:val="32"/>
          <w:highlight w:val="none"/>
        </w:rPr>
      </w:pPr>
      <w:r>
        <w:rPr>
          <w:rFonts w:hint="eastAsia" w:ascii="黑体" w:hAnsi="黑体" w:eastAsia="黑体" w:cs="黑体"/>
          <w:b w:val="0"/>
          <w:bCs w:val="0"/>
          <w:color w:val="000000" w:themeColor="text1"/>
          <w:kern w:val="0"/>
          <w:sz w:val="32"/>
          <w:szCs w:val="32"/>
          <w:highlight w:val="none"/>
        </w:rPr>
        <w:t>五、监督和联系</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一）本次公开招聘工作由嘉兴市第一医院（嘉兴学院附属医院）按有关规定组织实施，嘉兴市纪委市监委驻嘉兴市卫生健康委员会纪检监察组全程监督，嘉兴市人力资源和社会保障局进行业务指导和程序监督。对考试违纪违规行为的认定和处理，按照《事业单位公开招聘违纪违规行为处理规定》（人社部令第35号）执行。</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（二）本次公开招聘，按照市疫情防控工作有关要求执行。</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lang w:eastAsia="zh-CN"/>
        </w:rPr>
        <w:t>（三）</w:t>
      </w:r>
      <w:r>
        <w:rPr>
          <w:rFonts w:hint="eastAsia" w:ascii="仿宋_GB2312" w:hAnsi="仿宋_GB2312" w:eastAsia="仿宋_GB2312" w:cs="仿宋_GB2312"/>
          <w:color w:val="000000" w:themeColor="text1"/>
          <w:sz w:val="32"/>
          <w:szCs w:val="32"/>
          <w:highlight w:val="none"/>
        </w:rPr>
        <w:t>本公告未尽事宜，由嘉兴市第一医院（嘉兴学院附属医院）按有关文件规定执行。本次公开招聘相关事宜将发布于嘉兴市第一医院网站（</w:t>
      </w:r>
      <w:r>
        <w:rPr>
          <w:rFonts w:hint="eastAsia" w:ascii="仿宋_GB2312" w:hAnsi="仿宋_GB2312" w:eastAsia="仿宋_GB2312" w:cs="仿宋_GB2312"/>
          <w:color w:val="000000" w:themeColor="text1"/>
          <w:sz w:val="32"/>
          <w:szCs w:val="32"/>
          <w:highlight w:val="none"/>
        </w:rPr>
        <w:fldChar w:fldCharType="begin"/>
      </w:r>
      <w:r>
        <w:rPr>
          <w:rFonts w:hint="eastAsia" w:ascii="仿宋_GB2312" w:hAnsi="仿宋_GB2312" w:eastAsia="仿宋_GB2312" w:cs="仿宋_GB2312"/>
          <w:color w:val="000000" w:themeColor="text1"/>
          <w:sz w:val="32"/>
          <w:szCs w:val="32"/>
          <w:highlight w:val="none"/>
        </w:rPr>
        <w:instrText xml:space="preserve"> HYPERLINK "http://www.jxdyyy.com/" </w:instrText>
      </w:r>
      <w:r>
        <w:rPr>
          <w:rFonts w:hint="eastAsia" w:ascii="仿宋_GB2312" w:hAnsi="仿宋_GB2312" w:eastAsia="仿宋_GB2312" w:cs="仿宋_GB2312"/>
          <w:color w:val="000000" w:themeColor="text1"/>
          <w:sz w:val="32"/>
          <w:szCs w:val="32"/>
          <w:highlight w:val="none"/>
        </w:rPr>
        <w:fldChar w:fldCharType="separate"/>
      </w:r>
      <w:r>
        <w:rPr>
          <w:rStyle w:val="11"/>
          <w:rFonts w:hint="eastAsia" w:ascii="仿宋_GB2312" w:hAnsi="仿宋_GB2312" w:eastAsia="仿宋_GB2312" w:cs="仿宋_GB2312"/>
          <w:color w:val="000000" w:themeColor="text1"/>
          <w:sz w:val="32"/>
          <w:szCs w:val="32"/>
          <w:highlight w:val="none"/>
        </w:rPr>
        <w:t>http://www.jxdyyy.com/</w:t>
      </w:r>
      <w:r>
        <w:rPr>
          <w:rStyle w:val="11"/>
          <w:rFonts w:hint="eastAsia" w:ascii="仿宋_GB2312" w:hAnsi="仿宋_GB2312" w:eastAsia="仿宋_GB2312" w:cs="仿宋_GB2312"/>
          <w:color w:val="000000" w:themeColor="text1"/>
          <w:sz w:val="32"/>
          <w:szCs w:val="32"/>
          <w:highlight w:val="none"/>
        </w:rPr>
        <w:fldChar w:fldCharType="end"/>
      </w:r>
      <w:r>
        <w:rPr>
          <w:rFonts w:hint="eastAsia" w:ascii="仿宋_GB2312" w:hAnsi="仿宋_GB2312" w:eastAsia="仿宋_GB2312" w:cs="仿宋_GB2312"/>
          <w:color w:val="000000" w:themeColor="text1"/>
          <w:sz w:val="32"/>
          <w:szCs w:val="32"/>
          <w:highlight w:val="none"/>
        </w:rPr>
        <w:t>），供应聘者查询和社会监督。</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联系电话：0573-82519998、82519898</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联系人：杨老师、王老师</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监督电话：0573-83676257、82228947</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附件：</w:t>
      </w:r>
      <w:r>
        <w:rPr>
          <w:rFonts w:hint="eastAsia" w:ascii="仿宋_GB2312" w:hAnsi="仿宋_GB2312" w:eastAsia="仿宋_GB2312" w:cs="仿宋_GB2312"/>
          <w:color w:val="000000" w:themeColor="text1"/>
          <w:sz w:val="32"/>
          <w:szCs w:val="32"/>
          <w:highlight w:val="none"/>
        </w:rPr>
        <w:fldChar w:fldCharType="begin"/>
      </w:r>
      <w:r>
        <w:rPr>
          <w:rFonts w:hint="eastAsia" w:ascii="仿宋_GB2312" w:hAnsi="仿宋_GB2312" w:eastAsia="仿宋_GB2312" w:cs="仿宋_GB2312"/>
          <w:color w:val="000000" w:themeColor="text1"/>
          <w:sz w:val="32"/>
          <w:szCs w:val="32"/>
          <w:highlight w:val="none"/>
        </w:rPr>
        <w:instrText xml:space="preserve"> HYPERLINK "http://www.jxdyyy.com/Uploads/File/2020-11-26/5fbf707e6c230.docx" \o "嘉兴市第一医院（嘉兴学院附属医院）2021年公开招聘高层次人才报名登记表.docx" </w:instrText>
      </w:r>
      <w:r>
        <w:rPr>
          <w:rFonts w:hint="eastAsia" w:ascii="仿宋_GB2312" w:hAnsi="仿宋_GB2312" w:eastAsia="仿宋_GB2312" w:cs="仿宋_GB2312"/>
          <w:color w:val="000000" w:themeColor="text1"/>
          <w:sz w:val="32"/>
          <w:szCs w:val="32"/>
          <w:highlight w:val="none"/>
        </w:rPr>
        <w:fldChar w:fldCharType="separate"/>
      </w:r>
      <w:r>
        <w:rPr>
          <w:rStyle w:val="11"/>
          <w:rFonts w:hint="eastAsia" w:ascii="仿宋_GB2312" w:hAnsi="仿宋_GB2312" w:eastAsia="仿宋_GB2312" w:cs="仿宋_GB2312"/>
          <w:color w:val="000000" w:themeColor="text1"/>
          <w:sz w:val="32"/>
          <w:szCs w:val="32"/>
          <w:highlight w:val="none"/>
        </w:rPr>
        <w:t>嘉兴市第一医院（嘉兴学院附属医院）2021年公开招聘高层次人才报名登记表.docx</w:t>
      </w:r>
      <w:r>
        <w:rPr>
          <w:rStyle w:val="11"/>
          <w:rFonts w:hint="eastAsia" w:ascii="仿宋_GB2312" w:hAnsi="仿宋_GB2312" w:eastAsia="仿宋_GB2312" w:cs="仿宋_GB2312"/>
          <w:color w:val="000000" w:themeColor="text1"/>
          <w:sz w:val="32"/>
          <w:szCs w:val="32"/>
          <w:highlight w:val="none"/>
        </w:rPr>
        <w:fldChar w:fldCharType="end"/>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    </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1280" w:firstLineChars="4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               嘉兴市第一医院（嘉兴学院附属医院）</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                               2021年4月2</w:t>
      </w:r>
      <w:r>
        <w:rPr>
          <w:rFonts w:hint="eastAsia" w:ascii="仿宋_GB2312" w:hAnsi="仿宋_GB2312" w:eastAsia="仿宋_GB2312" w:cs="仿宋_GB2312"/>
          <w:color w:val="000000" w:themeColor="text1"/>
          <w:sz w:val="32"/>
          <w:szCs w:val="32"/>
          <w:highlight w:val="none"/>
          <w:lang w:val="en-US" w:eastAsia="zh-CN"/>
        </w:rPr>
        <w:t>6</w:t>
      </w:r>
      <w:r>
        <w:rPr>
          <w:rFonts w:hint="eastAsia" w:ascii="仿宋_GB2312" w:hAnsi="仿宋_GB2312" w:eastAsia="仿宋_GB2312" w:cs="仿宋_GB2312"/>
          <w:color w:val="000000" w:themeColor="text1"/>
          <w:sz w:val="32"/>
          <w:szCs w:val="32"/>
          <w:highlight w:val="none"/>
        </w:rPr>
        <w:t>日</w:t>
      </w:r>
    </w:p>
    <w:p>
      <w:pPr>
        <w:rPr>
          <w:rFonts w:ascii="仿宋_GB2312" w:eastAsia="仿宋_GB2312"/>
          <w:sz w:val="32"/>
          <w:szCs w:val="32"/>
        </w:rPr>
      </w:pPr>
      <w:r>
        <w:rPr>
          <w:rFonts w:hint="eastAsia" w:ascii="黑体" w:hAnsi="黑体" w:eastAsia="黑体" w:cs="黑体"/>
          <w:sz w:val="32"/>
          <w:szCs w:val="32"/>
        </w:rPr>
        <w:br w:type="page"/>
      </w:r>
      <w:r>
        <w:rPr>
          <w:rFonts w:hint="eastAsia" w:ascii="黑体" w:hAnsi="黑体" w:eastAsia="黑体" w:cs="黑体"/>
          <w:sz w:val="32"/>
          <w:szCs w:val="32"/>
        </w:rPr>
        <w:t>附件</w:t>
      </w:r>
    </w:p>
    <w:p>
      <w:pPr>
        <w:widowControl/>
        <w:spacing w:afterLines="50" w:line="340" w:lineRule="exact"/>
        <w:jc w:val="center"/>
        <w:rPr>
          <w:rFonts w:ascii="黑体" w:hAnsi="黑体" w:eastAsia="黑体"/>
          <w:sz w:val="30"/>
          <w:szCs w:val="30"/>
        </w:rPr>
      </w:pPr>
      <w:r>
        <w:rPr>
          <w:rFonts w:hint="eastAsia" w:ascii="黑体" w:hAnsi="黑体" w:eastAsia="黑体"/>
          <w:sz w:val="30"/>
          <w:szCs w:val="30"/>
        </w:rPr>
        <w:t>嘉兴市第一医院（嘉兴学院附属医院）2021年公开招聘</w:t>
      </w:r>
    </w:p>
    <w:p>
      <w:pPr>
        <w:widowControl/>
        <w:spacing w:afterLines="50" w:line="340" w:lineRule="exact"/>
        <w:jc w:val="center"/>
        <w:rPr>
          <w:rFonts w:ascii="黑体" w:hAnsi="黑体" w:eastAsia="黑体"/>
          <w:sz w:val="30"/>
          <w:szCs w:val="30"/>
        </w:rPr>
      </w:pPr>
      <w:r>
        <w:rPr>
          <w:rFonts w:hint="eastAsia" w:ascii="黑体" w:hAnsi="黑体" w:eastAsia="黑体"/>
          <w:sz w:val="30"/>
          <w:szCs w:val="30"/>
        </w:rPr>
        <w:t>高层次人才报名登记表</w:t>
      </w:r>
    </w:p>
    <w:p>
      <w:pPr>
        <w:widowControl/>
        <w:spacing w:afterLines="50" w:line="340" w:lineRule="exact"/>
        <w:rPr>
          <w:rFonts w:ascii="仿宋_GB2312" w:eastAsia="仿宋_GB2312"/>
          <w:b/>
          <w:sz w:val="28"/>
          <w:szCs w:val="28"/>
        </w:rPr>
      </w:pPr>
      <w:r>
        <w:rPr>
          <w:rFonts w:hint="eastAsia" w:ascii="仿宋_GB2312" w:eastAsia="仿宋_GB2312"/>
          <w:b/>
          <w:sz w:val="28"/>
          <w:szCs w:val="28"/>
        </w:rPr>
        <w:t>岗位序号：                         应聘岗位：</w:t>
      </w:r>
    </w:p>
    <w:tbl>
      <w:tblPr>
        <w:tblStyle w:val="8"/>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233"/>
        <w:gridCol w:w="589"/>
        <w:gridCol w:w="1004"/>
        <w:gridCol w:w="775"/>
        <w:gridCol w:w="350"/>
        <w:gridCol w:w="913"/>
        <w:gridCol w:w="317"/>
        <w:gridCol w:w="944"/>
        <w:gridCol w:w="832"/>
        <w:gridCol w:w="788"/>
        <w:gridCol w:w="761"/>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7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姓名</w:t>
            </w:r>
          </w:p>
        </w:tc>
        <w:tc>
          <w:tcPr>
            <w:tcW w:w="159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性别</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出生年月</w:t>
            </w:r>
          </w:p>
        </w:tc>
        <w:tc>
          <w:tcPr>
            <w:tcW w:w="1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471" w:type="dxa"/>
            <w:vMerge w:val="restart"/>
            <w:tcBorders>
              <w:top w:val="single" w:color="auto" w:sz="4" w:space="0"/>
              <w:left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7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户籍</w:t>
            </w:r>
          </w:p>
          <w:p>
            <w:pPr>
              <w:widowControl/>
              <w:jc w:val="center"/>
              <w:rPr>
                <w:rFonts w:ascii="宋体" w:hAnsi="宋体" w:cs="宋体"/>
                <w:kern w:val="0"/>
                <w:sz w:val="24"/>
              </w:rPr>
            </w:pPr>
            <w:r>
              <w:rPr>
                <w:rFonts w:hint="eastAsia" w:ascii="宋体" w:hAnsi="宋体" w:cs="宋体"/>
                <w:kern w:val="0"/>
                <w:sz w:val="24"/>
              </w:rPr>
              <w:t>所在地</w:t>
            </w:r>
          </w:p>
        </w:tc>
        <w:tc>
          <w:tcPr>
            <w:tcW w:w="159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rPr>
            </w:pPr>
            <w:r>
              <w:rPr>
                <w:rFonts w:hint="eastAsia" w:ascii="宋体" w:hAnsi="宋体" w:cs="宋体"/>
                <w:kern w:val="0"/>
                <w:sz w:val="24"/>
              </w:rPr>
              <w:t>政治</w:t>
            </w:r>
          </w:p>
          <w:p>
            <w:pPr>
              <w:widowControl/>
              <w:jc w:val="center"/>
              <w:rPr>
                <w:rFonts w:ascii="宋体"/>
                <w:kern w:val="0"/>
                <w:sz w:val="24"/>
              </w:rPr>
            </w:pPr>
            <w:r>
              <w:rPr>
                <w:rFonts w:hint="eastAsia" w:ascii="宋体" w:hAnsi="宋体" w:cs="宋体"/>
                <w:kern w:val="0"/>
                <w:sz w:val="24"/>
              </w:rPr>
              <w:t>面貌</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出生地</w:t>
            </w:r>
          </w:p>
        </w:tc>
        <w:tc>
          <w:tcPr>
            <w:tcW w:w="1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471" w:type="dxa"/>
            <w:vMerge w:val="continue"/>
            <w:tcBorders>
              <w:left w:val="single" w:color="auto" w:sz="4" w:space="0"/>
              <w:right w:val="single" w:color="auto" w:sz="4" w:space="0"/>
            </w:tcBorders>
            <w:vAlign w:val="center"/>
          </w:tcPr>
          <w:p>
            <w:pPr>
              <w:widowControl/>
              <w:jc w:val="center"/>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rPr>
            </w:pPr>
            <w:r>
              <w:rPr>
                <w:rFonts w:hint="eastAsia" w:ascii="宋体" w:hAnsi="宋体" w:cs="宋体"/>
                <w:kern w:val="0"/>
                <w:sz w:val="24"/>
              </w:rPr>
              <w:t>身份证号码</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rPr>
            </w:pPr>
            <w:r>
              <w:rPr>
                <w:rFonts w:hint="eastAsia" w:ascii="宋体" w:hAnsi="宋体" w:cs="宋体"/>
                <w:kern w:val="0"/>
                <w:sz w:val="24"/>
              </w:rPr>
              <w:t>婚姻状况</w:t>
            </w:r>
          </w:p>
        </w:tc>
        <w:tc>
          <w:tcPr>
            <w:tcW w:w="15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rPr>
            </w:pPr>
          </w:p>
        </w:tc>
        <w:tc>
          <w:tcPr>
            <w:tcW w:w="1471" w:type="dxa"/>
            <w:vMerge w:val="continue"/>
            <w:tcBorders>
              <w:left w:val="single" w:color="auto" w:sz="4" w:space="0"/>
              <w:right w:val="single" w:color="auto" w:sz="4" w:space="0"/>
            </w:tcBorders>
            <w:vAlign w:val="center"/>
          </w:tcPr>
          <w:p>
            <w:pPr>
              <w:jc w:val="center"/>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kern w:val="0"/>
                <w:sz w:val="24"/>
              </w:rPr>
              <w:t>初始学历、</w:t>
            </w:r>
          </w:p>
          <w:p>
            <w:pPr>
              <w:widowControl/>
              <w:jc w:val="center"/>
              <w:rPr>
                <w:rFonts w:ascii="宋体"/>
                <w:kern w:val="0"/>
                <w:sz w:val="24"/>
              </w:rPr>
            </w:pPr>
            <w:r>
              <w:rPr>
                <w:rFonts w:hint="eastAsia" w:ascii="宋体"/>
                <w:kern w:val="0"/>
                <w:sz w:val="24"/>
              </w:rPr>
              <w:t>学位</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kern w:val="0"/>
                <w:sz w:val="24"/>
              </w:rPr>
              <w:t>毕业院校、</w:t>
            </w:r>
          </w:p>
          <w:p>
            <w:pPr>
              <w:widowControl/>
              <w:jc w:val="center"/>
              <w:rPr>
                <w:rFonts w:ascii="宋体" w:hAnsi="宋体" w:cs="宋体"/>
                <w:kern w:val="0"/>
                <w:sz w:val="24"/>
              </w:rPr>
            </w:pPr>
            <w:r>
              <w:rPr>
                <w:rFonts w:hint="eastAsia" w:ascii="宋体" w:hAnsi="宋体" w:cs="宋体"/>
                <w:kern w:val="0"/>
                <w:sz w:val="24"/>
              </w:rPr>
              <w:t>专业及时间</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kern w:val="0"/>
                <w:sz w:val="24"/>
              </w:rPr>
              <w:t>最高学历、</w:t>
            </w:r>
          </w:p>
          <w:p>
            <w:pPr>
              <w:widowControl/>
              <w:jc w:val="center"/>
              <w:rPr>
                <w:rFonts w:ascii="宋体"/>
                <w:kern w:val="0"/>
                <w:sz w:val="24"/>
              </w:rPr>
            </w:pPr>
            <w:r>
              <w:rPr>
                <w:rFonts w:hint="eastAsia" w:ascii="宋体"/>
                <w:kern w:val="0"/>
                <w:sz w:val="24"/>
              </w:rPr>
              <w:t>学位</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kern w:val="0"/>
                <w:sz w:val="24"/>
              </w:rPr>
              <w:t>毕业院校、</w:t>
            </w:r>
          </w:p>
          <w:p>
            <w:pPr>
              <w:widowControl/>
              <w:jc w:val="center"/>
              <w:rPr>
                <w:rFonts w:ascii="宋体"/>
                <w:kern w:val="0"/>
                <w:sz w:val="24"/>
              </w:rPr>
            </w:pPr>
            <w:r>
              <w:rPr>
                <w:rFonts w:hint="eastAsia" w:ascii="宋体"/>
                <w:kern w:val="0"/>
                <w:sz w:val="24"/>
              </w:rPr>
              <w:t>专业及时间</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kern w:val="0"/>
                <w:sz w:val="24"/>
              </w:rPr>
              <w:t>临床型</w:t>
            </w:r>
          </w:p>
          <w:p>
            <w:pPr>
              <w:widowControl/>
              <w:jc w:val="center"/>
              <w:rPr>
                <w:rFonts w:ascii="宋体"/>
                <w:kern w:val="0"/>
                <w:sz w:val="24"/>
              </w:rPr>
            </w:pPr>
            <w:r>
              <w:rPr>
                <w:rFonts w:hint="eastAsia" w:ascii="宋体"/>
                <w:kern w:val="0"/>
                <w:sz w:val="24"/>
              </w:rPr>
              <w:t>/科研型</w:t>
            </w:r>
          </w:p>
        </w:tc>
        <w:tc>
          <w:tcPr>
            <w:tcW w:w="17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ascii="宋体" w:hAnsi="宋体" w:cs="宋体"/>
                <w:kern w:val="0"/>
                <w:sz w:val="24"/>
              </w:rPr>
              <w:t>□</w:t>
            </w:r>
            <w:r>
              <w:rPr>
                <w:rFonts w:hint="eastAsia" w:ascii="宋体" w:hAnsi="宋体" w:cs="宋体"/>
                <w:kern w:val="0"/>
                <w:sz w:val="24"/>
              </w:rPr>
              <w:t>专业</w:t>
            </w:r>
            <w:r>
              <w:rPr>
                <w:rFonts w:ascii="宋体" w:hAnsi="宋体" w:cs="宋体"/>
                <w:kern w:val="0"/>
                <w:sz w:val="24"/>
              </w:rPr>
              <w:t>型</w:t>
            </w:r>
          </w:p>
          <w:p>
            <w:pPr>
              <w:widowControl/>
              <w:jc w:val="center"/>
              <w:rPr>
                <w:rFonts w:ascii="宋体" w:hAnsi="宋体" w:cs="宋体"/>
                <w:kern w:val="0"/>
                <w:sz w:val="24"/>
              </w:rPr>
            </w:pPr>
            <w:r>
              <w:rPr>
                <w:rFonts w:hint="eastAsia" w:ascii="宋体" w:hAnsi="宋体" w:cs="宋体"/>
                <w:kern w:val="0"/>
                <w:sz w:val="24"/>
              </w:rPr>
              <w:t>□学术型</w:t>
            </w:r>
          </w:p>
        </w:tc>
        <w:tc>
          <w:tcPr>
            <w:tcW w:w="12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kern w:val="0"/>
                <w:sz w:val="24"/>
              </w:rPr>
              <w:t>英语等级</w:t>
            </w:r>
          </w:p>
        </w:tc>
        <w:tc>
          <w:tcPr>
            <w:tcW w:w="126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联系电话</w:t>
            </w:r>
          </w:p>
        </w:tc>
        <w:tc>
          <w:tcPr>
            <w:tcW w:w="22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rPr>
            </w:pPr>
            <w:r>
              <w:rPr>
                <w:rFonts w:hint="eastAsia" w:ascii="宋体"/>
                <w:kern w:val="0"/>
                <w:sz w:val="24"/>
              </w:rPr>
              <w:t>现工作单位</w:t>
            </w:r>
          </w:p>
        </w:tc>
        <w:tc>
          <w:tcPr>
            <w:tcW w:w="3359" w:type="dxa"/>
            <w:gridSpan w:val="5"/>
            <w:tcBorders>
              <w:top w:val="single" w:color="auto" w:sz="4" w:space="0"/>
              <w:left w:val="single" w:color="auto" w:sz="4" w:space="0"/>
              <w:bottom w:val="single" w:color="auto" w:sz="4" w:space="0"/>
              <w:right w:val="single" w:color="auto" w:sz="4" w:space="0"/>
            </w:tcBorders>
            <w:vAlign w:val="center"/>
          </w:tcPr>
          <w:p/>
        </w:tc>
        <w:tc>
          <w:tcPr>
            <w:tcW w:w="17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rPr>
            </w:pPr>
            <w:r>
              <w:rPr>
                <w:rFonts w:hint="eastAsia" w:ascii="宋体" w:hAnsi="宋体" w:cs="宋体"/>
                <w:kern w:val="0"/>
                <w:sz w:val="24"/>
              </w:rPr>
              <w:t>专业技术资格及取得时间</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家庭住址</w:t>
            </w:r>
          </w:p>
        </w:tc>
        <w:tc>
          <w:tcPr>
            <w:tcW w:w="8155"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是否服从分配</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身体状况</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1" w:hRule="atLeast"/>
        </w:trPr>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学习</w:t>
            </w:r>
          </w:p>
          <w:p>
            <w:pPr>
              <w:widowControl/>
              <w:jc w:val="center"/>
              <w:rPr>
                <w:rFonts w:ascii="宋体"/>
                <w:kern w:val="0"/>
                <w:sz w:val="24"/>
              </w:rPr>
            </w:pPr>
            <w:r>
              <w:rPr>
                <w:rFonts w:hint="eastAsia" w:ascii="宋体" w:hAnsi="宋体" w:cs="宋体"/>
                <w:kern w:val="0"/>
                <w:sz w:val="24"/>
              </w:rPr>
              <w:t>工作</w:t>
            </w:r>
          </w:p>
          <w:p>
            <w:pPr>
              <w:widowControl/>
              <w:jc w:val="center"/>
              <w:rPr>
                <w:rFonts w:ascii="宋体"/>
                <w:kern w:val="0"/>
                <w:sz w:val="24"/>
              </w:rPr>
            </w:pPr>
            <w:r>
              <w:rPr>
                <w:rFonts w:hint="eastAsia" w:ascii="宋体" w:hAnsi="宋体" w:cs="宋体"/>
                <w:kern w:val="0"/>
                <w:sz w:val="24"/>
              </w:rPr>
              <w:t>简历</w:t>
            </w:r>
          </w:p>
        </w:tc>
        <w:tc>
          <w:tcPr>
            <w:tcW w:w="8977" w:type="dxa"/>
            <w:gridSpan w:val="12"/>
            <w:tcBorders>
              <w:top w:val="single" w:color="auto" w:sz="4" w:space="0"/>
              <w:left w:val="single" w:color="auto" w:sz="4" w:space="0"/>
              <w:bottom w:val="single" w:color="auto" w:sz="4" w:space="0"/>
              <w:right w:val="single" w:color="auto" w:sz="4" w:space="0"/>
            </w:tcBorders>
          </w:tcPr>
          <w:p>
            <w:pPr>
              <w:widowControl/>
              <w:rPr>
                <w:rFonts w:ascii="宋体"/>
                <w:kern w:val="0"/>
                <w:sz w:val="24"/>
              </w:rPr>
            </w:pPr>
            <w:r>
              <w:rPr>
                <w:rFonts w:hint="eastAsia" w:ascii="宋体"/>
                <w:kern w:val="0"/>
                <w:sz w:val="24"/>
              </w:rPr>
              <w:t>（从高中阶段开始填写：学历/学位、起止时间、毕业学校、所学专业）</w:t>
            </w:r>
          </w:p>
          <w:p>
            <w:pPr>
              <w:widowControl/>
              <w:rPr>
                <w:rFonts w:ascii="宋体"/>
                <w:kern w:val="0"/>
                <w:sz w:val="24"/>
              </w:rPr>
            </w:pPr>
          </w:p>
          <w:p>
            <w:pPr>
              <w:widowControl/>
              <w:rPr>
                <w:rFonts w:ascii="宋体"/>
                <w:kern w:val="0"/>
                <w:sz w:val="24"/>
              </w:rPr>
            </w:pPr>
          </w:p>
          <w:p>
            <w:pPr>
              <w:widowControl/>
              <w:rPr>
                <w:rFonts w:ascii="宋体"/>
                <w:kern w:val="0"/>
                <w:sz w:val="24"/>
              </w:rPr>
            </w:pPr>
          </w:p>
          <w:p>
            <w:pPr>
              <w:widowControl/>
              <w:rPr>
                <w:rFonts w:ascii="宋体"/>
                <w:kern w:val="0"/>
                <w:sz w:val="24"/>
              </w:rPr>
            </w:pPr>
          </w:p>
          <w:p>
            <w:pPr>
              <w:widowControl/>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学术</w:t>
            </w:r>
          </w:p>
          <w:p>
            <w:pPr>
              <w:widowControl/>
              <w:jc w:val="center"/>
              <w:rPr>
                <w:rFonts w:ascii="宋体"/>
                <w:kern w:val="0"/>
                <w:sz w:val="24"/>
              </w:rPr>
            </w:pPr>
            <w:r>
              <w:rPr>
                <w:rFonts w:hint="eastAsia" w:ascii="宋体" w:hAnsi="宋体" w:cs="宋体"/>
                <w:kern w:val="0"/>
                <w:sz w:val="24"/>
              </w:rPr>
              <w:t>成就</w:t>
            </w:r>
          </w:p>
        </w:tc>
        <w:tc>
          <w:tcPr>
            <w:tcW w:w="8977" w:type="dxa"/>
            <w:gridSpan w:val="12"/>
            <w:tcBorders>
              <w:top w:val="single" w:color="auto" w:sz="4" w:space="0"/>
              <w:left w:val="single" w:color="auto" w:sz="4" w:space="0"/>
              <w:bottom w:val="single" w:color="auto" w:sz="4" w:space="0"/>
              <w:right w:val="single" w:color="auto" w:sz="4" w:space="0"/>
            </w:tcBorders>
          </w:tcPr>
          <w:p>
            <w:pPr>
              <w:widowControl/>
              <w:jc w:val="left"/>
              <w:rPr>
                <w:rFonts w:ascii="宋体"/>
                <w:kern w:val="0"/>
                <w:sz w:val="24"/>
              </w:rPr>
            </w:pPr>
            <w:r>
              <w:rPr>
                <w:rFonts w:hint="eastAsia" w:ascii="宋体"/>
                <w:kern w:val="0"/>
                <w:sz w:val="24"/>
              </w:rPr>
              <w:t>（请填写本人课题、论文、讲学等学术方面的主要成就）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trPr>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个人工作业绩以及荣誉</w:t>
            </w:r>
          </w:p>
        </w:tc>
        <w:tc>
          <w:tcPr>
            <w:tcW w:w="8977" w:type="dxa"/>
            <w:gridSpan w:val="12"/>
            <w:tcBorders>
              <w:top w:val="single" w:color="auto" w:sz="4" w:space="0"/>
              <w:left w:val="single" w:color="auto" w:sz="4" w:space="0"/>
              <w:bottom w:val="single" w:color="auto" w:sz="4" w:space="0"/>
              <w:right w:val="single" w:color="auto" w:sz="4" w:space="0"/>
            </w:tcBorders>
          </w:tcPr>
          <w:p>
            <w:pPr>
              <w:widowControl/>
              <w:jc w:val="left"/>
              <w:rPr>
                <w:rFonts w:ascii="宋体"/>
                <w:kern w:val="0"/>
                <w:sz w:val="24"/>
              </w:rPr>
            </w:pPr>
            <w:r>
              <w:rPr>
                <w:rFonts w:hint="eastAsia" w:ascii="宋体"/>
                <w:kern w:val="0"/>
                <w:sz w:val="24"/>
              </w:rPr>
              <w:t>（请填写本人学习期间、工作业绩和个人所获得的各项荣誉，可附页）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844" w:type="dxa"/>
            <w:tcBorders>
              <w:top w:val="single" w:color="auto" w:sz="4" w:space="0"/>
              <w:left w:val="single" w:color="auto" w:sz="4" w:space="0"/>
              <w:bottom w:val="single" w:color="auto" w:sz="4" w:space="0"/>
              <w:right w:val="single" w:color="auto" w:sz="4" w:space="0"/>
            </w:tcBorders>
            <w:vAlign w:val="center"/>
          </w:tcPr>
          <w:p>
            <w:pPr>
              <w:ind w:firstLine="120" w:firstLineChars="50"/>
              <w:rPr>
                <w:rFonts w:ascii="宋体"/>
                <w:kern w:val="0"/>
                <w:sz w:val="24"/>
              </w:rPr>
            </w:pPr>
            <w:r>
              <w:rPr>
                <w:rFonts w:hint="eastAsia" w:ascii="宋体" w:hAnsi="宋体" w:cs="宋体"/>
                <w:kern w:val="0"/>
                <w:sz w:val="24"/>
              </w:rPr>
              <w:t>个人</w:t>
            </w:r>
          </w:p>
          <w:p>
            <w:pPr>
              <w:ind w:firstLine="120" w:firstLineChars="50"/>
              <w:rPr>
                <w:rFonts w:ascii="宋体"/>
                <w:kern w:val="0"/>
                <w:sz w:val="24"/>
              </w:rPr>
            </w:pPr>
            <w:r>
              <w:rPr>
                <w:rFonts w:hint="eastAsia" w:ascii="宋体" w:hAnsi="宋体" w:cs="宋体"/>
                <w:kern w:val="0"/>
                <w:sz w:val="24"/>
              </w:rPr>
              <w:t>承诺</w:t>
            </w:r>
          </w:p>
        </w:tc>
        <w:tc>
          <w:tcPr>
            <w:tcW w:w="8977" w:type="dxa"/>
            <w:gridSpan w:val="1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p>
          <w:p>
            <w:pPr>
              <w:widowControl/>
              <w:rPr>
                <w:rFonts w:ascii="宋体"/>
                <w:kern w:val="0"/>
                <w:sz w:val="24"/>
              </w:rPr>
            </w:pPr>
            <w:r>
              <w:rPr>
                <w:rFonts w:hint="eastAsia" w:ascii="宋体" w:hAnsi="宋体" w:cs="宋体"/>
                <w:kern w:val="0"/>
                <w:sz w:val="24"/>
              </w:rPr>
              <w:t>本人对上述所填内容的真实性负责，如有隐瞒，愿承担一切责任。</w:t>
            </w:r>
          </w:p>
          <w:p>
            <w:pPr>
              <w:widowControl/>
              <w:rPr>
                <w:rFonts w:ascii="宋体" w:hAnsi="宋体" w:cs="宋体"/>
                <w:kern w:val="0"/>
                <w:sz w:val="24"/>
              </w:rPr>
            </w:pPr>
          </w:p>
          <w:p>
            <w:pPr>
              <w:widowControl/>
              <w:rPr>
                <w:rFonts w:ascii="宋体" w:hAnsi="宋体" w:cs="宋体"/>
                <w:kern w:val="0"/>
                <w:sz w:val="24"/>
              </w:rPr>
            </w:pPr>
            <w:r>
              <w:rPr>
                <w:rFonts w:hint="eastAsia" w:ascii="宋体" w:hAnsi="宋体" w:cs="宋体"/>
                <w:kern w:val="0"/>
                <w:sz w:val="24"/>
              </w:rPr>
              <w:t>签名：                                  填表时间：       年  月  日</w:t>
            </w:r>
          </w:p>
        </w:tc>
      </w:tr>
    </w:tbl>
    <w:p>
      <w:pPr>
        <w:pStyle w:val="7"/>
        <w:shd w:val="clear" w:color="auto" w:fill="FFFFFF"/>
        <w:spacing w:before="0" w:beforeAutospacing="0" w:after="0" w:afterAutospacing="0" w:line="440" w:lineRule="exact"/>
        <w:ind w:firstLine="480" w:firstLineChars="200"/>
      </w:pPr>
    </w:p>
    <w:sectPr>
      <w:footerReference r:id="rId3" w:type="default"/>
      <w:pgSz w:w="11906" w:h="16838"/>
      <w:pgMar w:top="1327" w:right="1416"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74562"/>
    <w:rsid w:val="00024837"/>
    <w:rsid w:val="00050B9D"/>
    <w:rsid w:val="00091FA9"/>
    <w:rsid w:val="000A6E73"/>
    <w:rsid w:val="000B031A"/>
    <w:rsid w:val="000E3085"/>
    <w:rsid w:val="000E56DD"/>
    <w:rsid w:val="00102C99"/>
    <w:rsid w:val="001251EE"/>
    <w:rsid w:val="00125467"/>
    <w:rsid w:val="00147AAB"/>
    <w:rsid w:val="00153DED"/>
    <w:rsid w:val="0019247F"/>
    <w:rsid w:val="001A18A6"/>
    <w:rsid w:val="001A7DB9"/>
    <w:rsid w:val="001B5B93"/>
    <w:rsid w:val="001D7644"/>
    <w:rsid w:val="001E3A29"/>
    <w:rsid w:val="00213A85"/>
    <w:rsid w:val="002401DE"/>
    <w:rsid w:val="00254396"/>
    <w:rsid w:val="002820FA"/>
    <w:rsid w:val="002905EC"/>
    <w:rsid w:val="002A0222"/>
    <w:rsid w:val="002A7481"/>
    <w:rsid w:val="002C5617"/>
    <w:rsid w:val="002C69B1"/>
    <w:rsid w:val="002C69F5"/>
    <w:rsid w:val="002E48CD"/>
    <w:rsid w:val="0031426C"/>
    <w:rsid w:val="00325178"/>
    <w:rsid w:val="00335A40"/>
    <w:rsid w:val="00362E2E"/>
    <w:rsid w:val="00365957"/>
    <w:rsid w:val="00390ECC"/>
    <w:rsid w:val="00406385"/>
    <w:rsid w:val="004103BC"/>
    <w:rsid w:val="004574B8"/>
    <w:rsid w:val="004A264D"/>
    <w:rsid w:val="004C0099"/>
    <w:rsid w:val="004C64D7"/>
    <w:rsid w:val="004D5561"/>
    <w:rsid w:val="004F4F50"/>
    <w:rsid w:val="004F7510"/>
    <w:rsid w:val="00516A6F"/>
    <w:rsid w:val="005520CD"/>
    <w:rsid w:val="0055785C"/>
    <w:rsid w:val="005649BE"/>
    <w:rsid w:val="005F3DAE"/>
    <w:rsid w:val="00603BC5"/>
    <w:rsid w:val="00614E00"/>
    <w:rsid w:val="006241EC"/>
    <w:rsid w:val="0062655C"/>
    <w:rsid w:val="00634011"/>
    <w:rsid w:val="00651789"/>
    <w:rsid w:val="006615A4"/>
    <w:rsid w:val="00681602"/>
    <w:rsid w:val="00684074"/>
    <w:rsid w:val="00687A76"/>
    <w:rsid w:val="006D0D41"/>
    <w:rsid w:val="006D2BAF"/>
    <w:rsid w:val="00707F6F"/>
    <w:rsid w:val="007851F0"/>
    <w:rsid w:val="00797EF0"/>
    <w:rsid w:val="007A556D"/>
    <w:rsid w:val="007D4A1F"/>
    <w:rsid w:val="007E7EAB"/>
    <w:rsid w:val="007F34D2"/>
    <w:rsid w:val="0080331F"/>
    <w:rsid w:val="00804A75"/>
    <w:rsid w:val="00807A99"/>
    <w:rsid w:val="00833E95"/>
    <w:rsid w:val="00841639"/>
    <w:rsid w:val="00841A7C"/>
    <w:rsid w:val="00841ECC"/>
    <w:rsid w:val="00850CBC"/>
    <w:rsid w:val="00860D4E"/>
    <w:rsid w:val="0088057C"/>
    <w:rsid w:val="00897D42"/>
    <w:rsid w:val="008A659E"/>
    <w:rsid w:val="0092260F"/>
    <w:rsid w:val="0092313A"/>
    <w:rsid w:val="00945C6B"/>
    <w:rsid w:val="0095195C"/>
    <w:rsid w:val="00953E2A"/>
    <w:rsid w:val="00956423"/>
    <w:rsid w:val="009736E1"/>
    <w:rsid w:val="00997B4B"/>
    <w:rsid w:val="009A704E"/>
    <w:rsid w:val="009B6F39"/>
    <w:rsid w:val="009C27CA"/>
    <w:rsid w:val="009C7586"/>
    <w:rsid w:val="009C7EFD"/>
    <w:rsid w:val="00A0780A"/>
    <w:rsid w:val="00A210B0"/>
    <w:rsid w:val="00A74562"/>
    <w:rsid w:val="00A760FD"/>
    <w:rsid w:val="00AD1A40"/>
    <w:rsid w:val="00AD34A5"/>
    <w:rsid w:val="00AD5AA7"/>
    <w:rsid w:val="00AE550A"/>
    <w:rsid w:val="00B421EA"/>
    <w:rsid w:val="00B802F3"/>
    <w:rsid w:val="00B92840"/>
    <w:rsid w:val="00B9556F"/>
    <w:rsid w:val="00BB07BC"/>
    <w:rsid w:val="00BB7306"/>
    <w:rsid w:val="00BD0520"/>
    <w:rsid w:val="00BE3675"/>
    <w:rsid w:val="00C0220F"/>
    <w:rsid w:val="00C22443"/>
    <w:rsid w:val="00C347CE"/>
    <w:rsid w:val="00C450DC"/>
    <w:rsid w:val="00C5747A"/>
    <w:rsid w:val="00C857CE"/>
    <w:rsid w:val="00C87E46"/>
    <w:rsid w:val="00CA328B"/>
    <w:rsid w:val="00CB1D4A"/>
    <w:rsid w:val="00D23F73"/>
    <w:rsid w:val="00D33D58"/>
    <w:rsid w:val="00D426E8"/>
    <w:rsid w:val="00D5058C"/>
    <w:rsid w:val="00D53755"/>
    <w:rsid w:val="00D626C9"/>
    <w:rsid w:val="00DA315E"/>
    <w:rsid w:val="00DC0B55"/>
    <w:rsid w:val="00DC6EDB"/>
    <w:rsid w:val="00DC75E7"/>
    <w:rsid w:val="00DD0E1F"/>
    <w:rsid w:val="00E17C13"/>
    <w:rsid w:val="00E34D7A"/>
    <w:rsid w:val="00E4371E"/>
    <w:rsid w:val="00E5207B"/>
    <w:rsid w:val="00E52B32"/>
    <w:rsid w:val="00E543DD"/>
    <w:rsid w:val="00EA23A1"/>
    <w:rsid w:val="00EB216D"/>
    <w:rsid w:val="00EB45D5"/>
    <w:rsid w:val="00EB593C"/>
    <w:rsid w:val="00EC4438"/>
    <w:rsid w:val="00EE3BCD"/>
    <w:rsid w:val="00EF513D"/>
    <w:rsid w:val="00F57E6D"/>
    <w:rsid w:val="016632D6"/>
    <w:rsid w:val="01684A7B"/>
    <w:rsid w:val="02A7298F"/>
    <w:rsid w:val="02CE6B87"/>
    <w:rsid w:val="03694DA2"/>
    <w:rsid w:val="05246757"/>
    <w:rsid w:val="05BF5AFB"/>
    <w:rsid w:val="06477963"/>
    <w:rsid w:val="07E93846"/>
    <w:rsid w:val="08004F4B"/>
    <w:rsid w:val="085F44BA"/>
    <w:rsid w:val="08D3624E"/>
    <w:rsid w:val="0920710E"/>
    <w:rsid w:val="09753379"/>
    <w:rsid w:val="0B702487"/>
    <w:rsid w:val="0BDF1FBC"/>
    <w:rsid w:val="0CA109C0"/>
    <w:rsid w:val="0DCE7FF7"/>
    <w:rsid w:val="0F89616D"/>
    <w:rsid w:val="10FE5312"/>
    <w:rsid w:val="144565A4"/>
    <w:rsid w:val="144D6279"/>
    <w:rsid w:val="166026F4"/>
    <w:rsid w:val="166B29B1"/>
    <w:rsid w:val="16E70CFA"/>
    <w:rsid w:val="17A908C6"/>
    <w:rsid w:val="187D2724"/>
    <w:rsid w:val="1919613B"/>
    <w:rsid w:val="19FE660F"/>
    <w:rsid w:val="1B19697A"/>
    <w:rsid w:val="1B754F3C"/>
    <w:rsid w:val="1B992AB8"/>
    <w:rsid w:val="1BA70141"/>
    <w:rsid w:val="1BF84528"/>
    <w:rsid w:val="1D1830B8"/>
    <w:rsid w:val="1DEC67F3"/>
    <w:rsid w:val="1EA41ACA"/>
    <w:rsid w:val="1FB23538"/>
    <w:rsid w:val="24C4503A"/>
    <w:rsid w:val="25BE0731"/>
    <w:rsid w:val="262362B4"/>
    <w:rsid w:val="26755F0D"/>
    <w:rsid w:val="268A27DC"/>
    <w:rsid w:val="26DA1C3D"/>
    <w:rsid w:val="27015686"/>
    <w:rsid w:val="27A52F9C"/>
    <w:rsid w:val="27C56D7B"/>
    <w:rsid w:val="27ED77CF"/>
    <w:rsid w:val="2A5C673C"/>
    <w:rsid w:val="2C061C9A"/>
    <w:rsid w:val="2C527E29"/>
    <w:rsid w:val="2CC45E5D"/>
    <w:rsid w:val="2CF852F4"/>
    <w:rsid w:val="2E3846ED"/>
    <w:rsid w:val="2FCA720B"/>
    <w:rsid w:val="305D5B2C"/>
    <w:rsid w:val="31E342AE"/>
    <w:rsid w:val="32025E7F"/>
    <w:rsid w:val="32DE4453"/>
    <w:rsid w:val="33615FCA"/>
    <w:rsid w:val="33BB1781"/>
    <w:rsid w:val="340E50BA"/>
    <w:rsid w:val="34F35BAC"/>
    <w:rsid w:val="3772677F"/>
    <w:rsid w:val="39E62D4F"/>
    <w:rsid w:val="39EA06E1"/>
    <w:rsid w:val="3A12341A"/>
    <w:rsid w:val="3A730F58"/>
    <w:rsid w:val="3AD62C80"/>
    <w:rsid w:val="3E72629E"/>
    <w:rsid w:val="3F5558CC"/>
    <w:rsid w:val="419D0161"/>
    <w:rsid w:val="41A06535"/>
    <w:rsid w:val="41C97394"/>
    <w:rsid w:val="42E7174D"/>
    <w:rsid w:val="436624F7"/>
    <w:rsid w:val="443B0C4A"/>
    <w:rsid w:val="44803156"/>
    <w:rsid w:val="45527473"/>
    <w:rsid w:val="462C57FD"/>
    <w:rsid w:val="46A859DD"/>
    <w:rsid w:val="474663E7"/>
    <w:rsid w:val="49000DF0"/>
    <w:rsid w:val="493E3465"/>
    <w:rsid w:val="497843A0"/>
    <w:rsid w:val="4A902C5E"/>
    <w:rsid w:val="4F283343"/>
    <w:rsid w:val="4F5C2968"/>
    <w:rsid w:val="50D73157"/>
    <w:rsid w:val="529A277D"/>
    <w:rsid w:val="52CD5F8E"/>
    <w:rsid w:val="53CA7031"/>
    <w:rsid w:val="542F1F5B"/>
    <w:rsid w:val="54F168CD"/>
    <w:rsid w:val="57CA7DD5"/>
    <w:rsid w:val="57F82122"/>
    <w:rsid w:val="585A2834"/>
    <w:rsid w:val="58BC2EAC"/>
    <w:rsid w:val="59117084"/>
    <w:rsid w:val="5A0A0F99"/>
    <w:rsid w:val="5BC05154"/>
    <w:rsid w:val="5C243387"/>
    <w:rsid w:val="5C8B46CC"/>
    <w:rsid w:val="5DA670C2"/>
    <w:rsid w:val="5DBB5743"/>
    <w:rsid w:val="5DC82979"/>
    <w:rsid w:val="5DF947FF"/>
    <w:rsid w:val="5E044543"/>
    <w:rsid w:val="5EEB0E27"/>
    <w:rsid w:val="62996A13"/>
    <w:rsid w:val="6306094D"/>
    <w:rsid w:val="6358775B"/>
    <w:rsid w:val="63D81E7B"/>
    <w:rsid w:val="640000C4"/>
    <w:rsid w:val="65C9784C"/>
    <w:rsid w:val="6755175B"/>
    <w:rsid w:val="692C0161"/>
    <w:rsid w:val="69453E05"/>
    <w:rsid w:val="69C57E84"/>
    <w:rsid w:val="69D175FE"/>
    <w:rsid w:val="6A063222"/>
    <w:rsid w:val="6A2607FA"/>
    <w:rsid w:val="6AA10B75"/>
    <w:rsid w:val="6B2B532A"/>
    <w:rsid w:val="6C9535C9"/>
    <w:rsid w:val="6CD555A5"/>
    <w:rsid w:val="6D577F09"/>
    <w:rsid w:val="6E5E7F5D"/>
    <w:rsid w:val="700B153F"/>
    <w:rsid w:val="713D47CC"/>
    <w:rsid w:val="73582DB6"/>
    <w:rsid w:val="73AE0CD7"/>
    <w:rsid w:val="75771EBF"/>
    <w:rsid w:val="75AD7F68"/>
    <w:rsid w:val="76BB5E5F"/>
    <w:rsid w:val="78F16F8E"/>
    <w:rsid w:val="7CDD7DDA"/>
    <w:rsid w:val="7E5016E5"/>
    <w:rsid w:val="7EBC328B"/>
    <w:rsid w:val="7F5A34A2"/>
    <w:rsid w:val="7FAB77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qFormat/>
    <w:uiPriority w:val="9"/>
    <w:pPr>
      <w:widowControl/>
      <w:spacing w:before="100" w:beforeAutospacing="1" w:after="100" w:afterAutospacing="1"/>
      <w:jc w:val="left"/>
      <w:outlineLvl w:val="1"/>
    </w:pPr>
    <w:rPr>
      <w:rFonts w:ascii="Arial" w:hAnsi="Arial" w:eastAsia="宋体" w:cs="Arial"/>
      <w:b/>
      <w:bCs/>
      <w:kern w:val="0"/>
      <w:sz w:val="2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5"/>
    <w:semiHidden/>
    <w:unhideWhenUsed/>
    <w:qFormat/>
    <w:uiPriority w:val="99"/>
    <w:rPr>
      <w:sz w:val="18"/>
      <w:szCs w:val="18"/>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rFonts w:hint="default" w:ascii="Arial" w:hAnsi="Arial" w:cs="Arial"/>
      <w:b/>
      <w:bCs/>
      <w:sz w:val="24"/>
      <w:szCs w:val="24"/>
    </w:rPr>
  </w:style>
  <w:style w:type="character" w:styleId="11">
    <w:name w:val="Hyperlink"/>
    <w:basedOn w:val="9"/>
    <w:semiHidden/>
    <w:unhideWhenUsed/>
    <w:qFormat/>
    <w:uiPriority w:val="99"/>
    <w:rPr>
      <w:color w:val="666666"/>
      <w:u w:val="none"/>
    </w:rPr>
  </w:style>
  <w:style w:type="character" w:customStyle="1" w:styleId="12">
    <w:name w:val="页眉 Char"/>
    <w:basedOn w:val="9"/>
    <w:link w:val="6"/>
    <w:semiHidden/>
    <w:qFormat/>
    <w:uiPriority w:val="99"/>
    <w:rPr>
      <w:sz w:val="18"/>
      <w:szCs w:val="18"/>
    </w:rPr>
  </w:style>
  <w:style w:type="character" w:customStyle="1" w:styleId="13">
    <w:name w:val="页脚 Char"/>
    <w:basedOn w:val="9"/>
    <w:link w:val="5"/>
    <w:semiHidden/>
    <w:qFormat/>
    <w:uiPriority w:val="99"/>
    <w:rPr>
      <w:sz w:val="18"/>
      <w:szCs w:val="18"/>
    </w:rPr>
  </w:style>
  <w:style w:type="character" w:customStyle="1" w:styleId="14">
    <w:name w:val="标题 2 Char"/>
    <w:basedOn w:val="9"/>
    <w:link w:val="2"/>
    <w:qFormat/>
    <w:uiPriority w:val="9"/>
    <w:rPr>
      <w:rFonts w:ascii="Arial" w:hAnsi="Arial" w:eastAsia="宋体" w:cs="Arial"/>
      <w:b/>
      <w:bCs/>
      <w:kern w:val="0"/>
      <w:sz w:val="24"/>
      <w:szCs w:val="24"/>
    </w:rPr>
  </w:style>
  <w:style w:type="character" w:customStyle="1" w:styleId="15">
    <w:name w:val="批注框文本 Char"/>
    <w:basedOn w:val="9"/>
    <w:link w:val="4"/>
    <w:semiHidden/>
    <w:qFormat/>
    <w:uiPriority w:val="99"/>
    <w:rPr>
      <w:sz w:val="18"/>
      <w:szCs w:val="18"/>
    </w:rPr>
  </w:style>
  <w:style w:type="character" w:customStyle="1" w:styleId="16">
    <w:name w:val="日期 Char"/>
    <w:basedOn w:val="9"/>
    <w:link w:val="3"/>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26E396-39E0-4D13-9D9F-7D35C248D276}">
  <ds:schemaRefs/>
</ds:datastoreItem>
</file>

<file path=docProps/app.xml><?xml version="1.0" encoding="utf-8"?>
<Properties xmlns="http://schemas.openxmlformats.org/officeDocument/2006/extended-properties" xmlns:vt="http://schemas.openxmlformats.org/officeDocument/2006/docPropsVTypes">
  <Template>Normal</Template>
  <Pages>7</Pages>
  <Words>881</Words>
  <Characters>5028</Characters>
  <Lines>41</Lines>
  <Paragraphs>11</Paragraphs>
  <TotalTime>17</TotalTime>
  <ScaleCrop>false</ScaleCrop>
  <LinksUpToDate>false</LinksUpToDate>
  <CharactersWithSpaces>5898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2021-02-25T02:50:00Z</dcterms:created>
  <dc:creator>his</dc:creator>
  <cp:lastModifiedBy> 聪明猫</cp:lastModifiedBy>
  <cp:lastPrinted>2021-04-23T06:11:00Z</cp:lastPrinted>
  <dcterms:modified xsi:type="dcterms:W3CDTF">2021-04-26T01:56:32Z</dcterms:modified>
  <cp:revision>234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68844E4313C8458F8D90224779EAAF7D</vt:lpwstr>
  </property>
</Properties>
</file>