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杭州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未来科技城（海创园）管委会下属国有公司工作人员招聘计划一览表</w:t>
      </w:r>
    </w:p>
    <w:tbl>
      <w:tblPr>
        <w:tblStyle w:val="5"/>
        <w:tblW w:w="13894" w:type="dxa"/>
        <w:jc w:val="center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37"/>
        <w:gridCol w:w="765"/>
        <w:gridCol w:w="690"/>
        <w:gridCol w:w="975"/>
        <w:gridCol w:w="1305"/>
        <w:gridCol w:w="2040"/>
        <w:gridCol w:w="3563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学历、学位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专业条件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安装工程师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工程类相关工作经验，熟悉土建、安装等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结构工程师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工程类相关工作经验，熟悉土建、安装等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精装修工程师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工程类相关工作经验，熟悉土建、安装等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土建工程师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工程类相关工作经验，熟悉土建、安装等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造价工程师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土木工程类、建筑工程类、工程造价类、园林风景类、市政工程类、公路工程类、工程管理类等相关专业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工程类相关工作经验，熟悉造价等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绿化工程师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园林风景类等相关专业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工程类相关工作经验，熟悉园林风景等绿化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工作，有丰富的施工经验，能够对施工过程中的成本、质量进行有效把控；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市政工程师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市政工程类、公路工程类等相关专业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工程类相关工作经验，熟悉道路、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隧道、桥梁工程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等市政工程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质量、安全工程师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土木工程类、建筑工程类、工程造价类、园林风景类、市政工程类、公路工程类、工程管理类等相关专业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  <w:t>施工安全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管线工程师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浙江省内户籍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全日制本科（第一批招生）及以上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土木工程类、市政工程类、公路工程类、等相关专业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1.具有3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工程类相关工作经验，熟悉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土木、市政、管线等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管理工作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，有丰富的施工经验，能够对施工过程中的成本、质量进行有效把控；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1.符合下列条件之一者，年龄可放宽至40周岁，学历可放宽至本科，招聘范围中户籍不限：①具有注册造价工程师证书；②具有高级工程师职称的。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2.具有研究生及以上学历的，招聘范围中户籍和工作经验不受限制。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档案管理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研究生及以上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中国语言文学类、新闻传播学类、行政管理、档案管理专业等相关专业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1.有行政办公经验，能熟练运用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Office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PS等软件编写文档及表格；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4.具有专业档案管理人员上岗证书者优先考虑。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资料、信息员、内勤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及以下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研究生及以上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中国语言文学类、新闻传播学类、行政管理等相关专业</w:t>
            </w:r>
          </w:p>
        </w:tc>
        <w:tc>
          <w:tcPr>
            <w:tcW w:w="356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1.有行政办公经验，能熟练运用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Office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PS等软件编写文档及表格；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2.具备较强的文字写作能力，较强的人际沟通、协调、组织、管理能力，较强的执行能力及抗压能力；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3.身体健康、吃苦耐劳，有责任心和事业心，具有团队协作精神。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76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1F5C"/>
    <w:rsid w:val="112D1F5C"/>
    <w:rsid w:val="33D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2019-03-08T08:52:00Z</dcterms:created>
  <dc:creator>宝</dc:creator>
  <cp:lastModifiedBy>宝</cp:lastModifiedBy>
  <dcterms:modified xsi:type="dcterms:W3CDTF">2019-03-08T08:55:34Z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