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4B" w:rsidRDefault="00A42B4B" w:rsidP="00A42B4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附件四：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738"/>
        <w:gridCol w:w="1298"/>
        <w:gridCol w:w="4297"/>
        <w:gridCol w:w="850"/>
        <w:gridCol w:w="1557"/>
      </w:tblGrid>
      <w:tr w:rsidR="00A42B4B" w:rsidRPr="00E2133B" w:rsidTr="00CE7A63">
        <w:trPr>
          <w:trHeight w:val="655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综合能力量化评分表</w:t>
            </w:r>
          </w:p>
        </w:tc>
      </w:tr>
      <w:tr w:rsidR="00A42B4B" w:rsidRPr="00E2133B" w:rsidTr="00CE7A63">
        <w:trPr>
          <w:trHeight w:val="389"/>
        </w:trPr>
        <w:tc>
          <w:tcPr>
            <w:tcW w:w="8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岗位：                                    姓名：</w:t>
            </w:r>
          </w:p>
        </w:tc>
      </w:tr>
      <w:tr w:rsidR="00A42B4B" w:rsidRPr="00E2133B" w:rsidTr="00CE7A63">
        <w:trPr>
          <w:trHeight w:val="69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（权重）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评分标准（分值）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0%）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群众或其他党派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中共党员或中共预备党员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全日制本科（学士学位）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全日制研究生（硕士学位）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专业职称</w:t>
            </w:r>
          </w:p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（25%）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无专业职称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初级专业职称（或相当职业资格），岗位相关从业资格证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中级专业职称（或相当职业资格）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副高级专业职称（或相当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业资格）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A42B4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专业工作年限不满3年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满3年不满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个人荣誉</w:t>
            </w:r>
          </w:p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%）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全日制高校优秀毕业生，或</w:t>
            </w:r>
            <w:proofErr w:type="gramStart"/>
            <w:r w:rsidRPr="00BB2F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BB2F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上企业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、区属国企年度先进个人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6238BC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区级奖项，或市属国企年度先进个人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市级奖项，或省属国企年度先进个人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2B4B" w:rsidRPr="00E2133B" w:rsidRDefault="00A42B4B" w:rsidP="00CE7A6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省级奖项，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或央企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年度先进个人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42B4B" w:rsidRPr="00E2133B" w:rsidTr="00CE7A63">
        <w:trPr>
          <w:trHeight w:val="581"/>
        </w:trPr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2133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总   分（100分）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4B" w:rsidRPr="00E2133B" w:rsidRDefault="00A42B4B" w:rsidP="00CE7A6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03926" w:rsidRPr="00A42B4B" w:rsidRDefault="00A42B4B">
      <w:r>
        <w:rPr>
          <w:rFonts w:ascii="仿宋" w:eastAsia="仿宋" w:hAnsi="仿宋" w:hint="eastAsia"/>
          <w:sz w:val="24"/>
          <w:szCs w:val="24"/>
        </w:rPr>
        <w:t>注：1.专业职称、专业工作年限均指与该招聘岗位资格条件相符的职称、工作年限；2.专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业职称数量每增加一项，增加20分，专业职称单项评分100分封顶；3.获得个人多项荣誉的，按最高荣誉计分；4.同时提供以上评分指标相关证明、证书。</w:t>
      </w:r>
    </w:p>
    <w:sectPr w:rsidR="00903926" w:rsidRPr="00A42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4B"/>
    <w:rsid w:val="00903926"/>
    <w:rsid w:val="00A4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2021-11-24T02:43:00Z</dcterms:created>
  <dcterms:modified xsi:type="dcterms:W3CDTF">2021-11-24T02:43:00Z</dcterms:modified>
</cp:coreProperties>
</file>