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sz w:val="32"/>
          <w:szCs w:val="32"/>
        </w:rPr>
      </w:pPr>
      <w:r>
        <w:rPr>
          <w:rFonts w:hint="eastAsia" w:ascii="宋体" w:hAnsi="宋体" w:cs="宋体"/>
          <w:sz w:val="32"/>
          <w:szCs w:val="32"/>
        </w:rPr>
        <w:t>附件</w:t>
      </w:r>
      <w:r>
        <w:rPr>
          <w:rFonts w:hint="eastAsia" w:ascii="宋体" w:hAnsi="宋体" w:cs="宋体"/>
          <w:sz w:val="32"/>
          <w:szCs w:val="32"/>
          <w:lang w:val="en-US" w:eastAsia="zh-CN"/>
        </w:rPr>
        <w:t>2</w:t>
      </w:r>
      <w:r>
        <w:rPr>
          <w:rFonts w:hint="eastAsia" w:ascii="宋体" w:hAnsi="宋体" w:cs="宋体"/>
          <w:sz w:val="32"/>
          <w:szCs w:val="32"/>
        </w:rPr>
        <w:t>：</w:t>
      </w:r>
    </w:p>
    <w:p>
      <w:pPr>
        <w:spacing w:line="560" w:lineRule="exact"/>
        <w:jc w:val="center"/>
        <w:rPr>
          <w:rFonts w:ascii="宋体" w:hAnsi="宋体" w:cs="宋体"/>
          <w:b/>
          <w:bCs/>
          <w:sz w:val="44"/>
          <w:szCs w:val="32"/>
        </w:rPr>
      </w:pPr>
    </w:p>
    <w:p>
      <w:pPr>
        <w:spacing w:line="560" w:lineRule="exact"/>
        <w:jc w:val="center"/>
        <w:rPr>
          <w:rFonts w:ascii="宋体" w:hAnsi="宋体" w:cs="宋体"/>
          <w:b/>
          <w:bCs/>
          <w:sz w:val="44"/>
          <w:szCs w:val="32"/>
        </w:rPr>
      </w:pPr>
      <w:r>
        <w:rPr>
          <w:rFonts w:hint="eastAsia" w:ascii="宋体" w:hAnsi="宋体" w:cs="宋体"/>
          <w:b/>
          <w:bCs/>
          <w:sz w:val="44"/>
          <w:szCs w:val="32"/>
        </w:rPr>
        <w:t>2022年杭州市公安局第二批招聘警务辅助人员防疫须知</w:t>
      </w:r>
    </w:p>
    <w:p>
      <w:pPr>
        <w:spacing w:line="560" w:lineRule="exact"/>
        <w:rPr>
          <w:rFonts w:ascii="宋体" w:hAnsi="宋体" w:cs="宋体"/>
          <w:b/>
          <w:bCs/>
          <w:sz w:val="44"/>
          <w:szCs w:val="32"/>
        </w:rPr>
      </w:pPr>
    </w:p>
    <w:p>
      <w:pPr>
        <w:pStyle w:val="10"/>
        <w:shd w:val="clear" w:color="auto" w:fill="auto"/>
        <w:adjustRightInd w:val="0"/>
        <w:snapToGrid w:val="0"/>
        <w:spacing w:line="50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本须知是基于现阶段下的疫情防控形势和策略制订，具体措施随疫情形势变化和国家、浙江省、杭州市防控策略调整而及时更新，</w:t>
      </w:r>
      <w:r>
        <w:rPr>
          <w:rFonts w:hint="eastAsia" w:ascii="仿宋_GB2312" w:eastAsia="仿宋_GB2312"/>
          <w:sz w:val="32"/>
          <w:szCs w:val="32"/>
        </w:rPr>
        <w:t>现将最新的防疫须知通知如下，各项防疫工作按此须知内容执行。</w:t>
      </w:r>
    </w:p>
    <w:p>
      <w:pPr>
        <w:pStyle w:val="10"/>
        <w:shd w:val="clear" w:color="auto" w:fill="auto"/>
        <w:adjustRightInd w:val="0"/>
        <w:snapToGrid w:val="0"/>
        <w:spacing w:line="500" w:lineRule="atLeast"/>
        <w:ind w:firstLine="640" w:firstLineChars="200"/>
        <w:rPr>
          <w:rFonts w:ascii="仿宋_GB2312" w:hAnsi="仿宋_GB2312" w:eastAsia="仿宋_GB2312" w:cs="仿宋_GB2312"/>
          <w:bCs/>
          <w:sz w:val="32"/>
          <w:szCs w:val="32"/>
        </w:rPr>
      </w:pPr>
      <w:r>
        <w:rPr>
          <w:rFonts w:hint="eastAsia" w:ascii="黑体" w:hAnsi="黑体" w:eastAsia="黑体"/>
          <w:sz w:val="32"/>
          <w:szCs w:val="32"/>
        </w:rPr>
        <w:t>一、考生应提前申领“浙</w:t>
      </w:r>
      <w:bookmarkStart w:id="0" w:name="_GoBack"/>
      <w:bookmarkEnd w:id="0"/>
      <w:r>
        <w:rPr>
          <w:rFonts w:hint="eastAsia" w:ascii="黑体" w:hAnsi="黑体" w:eastAsia="黑体"/>
          <w:sz w:val="32"/>
          <w:szCs w:val="32"/>
        </w:rPr>
        <w:t>江健康码"和“通讯大数据行程卡”。</w:t>
      </w:r>
      <w:r>
        <w:rPr>
          <w:rFonts w:hint="eastAsia" w:ascii="仿宋_GB2312" w:hAnsi="仿宋_GB2312" w:eastAsia="仿宋_GB2312" w:cs="仿宋_GB2312"/>
          <w:sz w:val="32"/>
          <w:szCs w:val="32"/>
        </w:rPr>
        <w:t>所有进入考点人员须提前申领“浙江健康码"（以下简称“健康码”）和“通讯大数据行程卡”（以下简称“行程卡”），可在支付宝首页输入浙江健康码进行申领，也可通过支付宝，或打开钉钉、微信等具有扫描功能的APP或有扫描功能的网页浏览器，扫描二维码后进行申领，“浙江健康码”绿码和“行程卡”不带星号（需提前</w:t>
      </w:r>
      <w:r>
        <w:rPr>
          <w:rFonts w:hint="eastAsia" w:ascii="仿宋_GB2312" w:hAnsi="仿宋_GB2312" w:eastAsia="仿宋_GB2312" w:cs="仿宋_GB2312"/>
          <w:sz w:val="32"/>
          <w:szCs w:val="32"/>
          <w:lang w:val="en-US"/>
        </w:rPr>
        <w:t>14天返浙</w:t>
      </w:r>
      <w:r>
        <w:rPr>
          <w:rFonts w:hint="eastAsia" w:ascii="仿宋_GB2312" w:hAnsi="仿宋_GB2312" w:eastAsia="仿宋_GB2312" w:cs="仿宋_GB2312"/>
          <w:sz w:val="32"/>
          <w:szCs w:val="32"/>
        </w:rPr>
        <w:t>）才能参考。</w:t>
      </w:r>
    </w:p>
    <w:p>
      <w:pPr>
        <w:adjustRightInd w:val="0"/>
        <w:snapToGrid w:val="0"/>
        <w:spacing w:line="560" w:lineRule="exact"/>
        <w:rPr>
          <w:rFonts w:ascii="仿宋_GB2312" w:eastAsia="仿宋_GB2312"/>
          <w:bCs/>
          <w:sz w:val="32"/>
          <w:szCs w:val="32"/>
        </w:rPr>
      </w:pPr>
      <w:r>
        <w:rPr>
          <w:rFonts w:hint="eastAsia" w:ascii="仿宋_GB2312" w:eastAsia="仿宋_GB2312"/>
          <w:sz w:val="32"/>
          <w:szCs w:val="32"/>
        </w:rPr>
        <w:t xml:space="preserve">    （一）要保持浙江“健康码”绿码状态。各招聘环节前</w:t>
      </w:r>
      <w:r>
        <w:rPr>
          <w:rFonts w:hint="eastAsia" w:ascii="仿宋_GB2312" w:eastAsia="仿宋_GB2312"/>
          <w:bCs/>
          <w:sz w:val="32"/>
          <w:szCs w:val="32"/>
        </w:rPr>
        <w:t>不要去国（境）外和国内疫情中高风险地区以及已出现本土阳性病例的省市，做好日常健康监测，在省外的要尽早返</w:t>
      </w:r>
      <w:r>
        <w:rPr>
          <w:rFonts w:hint="eastAsia" w:ascii="仿宋_GB2312" w:eastAsia="仿宋_GB2312"/>
          <w:sz w:val="32"/>
          <w:szCs w:val="32"/>
        </w:rPr>
        <w:t>浙</w:t>
      </w:r>
      <w:r>
        <w:rPr>
          <w:rFonts w:hint="eastAsia" w:ascii="仿宋_GB2312" w:eastAsia="仿宋_GB2312"/>
          <w:bCs/>
          <w:sz w:val="32"/>
          <w:szCs w:val="32"/>
        </w:rPr>
        <w:t>（提前14天,须出示行程卡，如有特殊规定另行明确）。返</w:t>
      </w:r>
      <w:r>
        <w:rPr>
          <w:rFonts w:hint="eastAsia" w:ascii="仿宋_GB2312" w:eastAsia="仿宋_GB2312"/>
          <w:sz w:val="32"/>
          <w:szCs w:val="32"/>
        </w:rPr>
        <w:t>浙</w:t>
      </w:r>
      <w:r>
        <w:rPr>
          <w:rFonts w:hint="eastAsia" w:ascii="仿宋_GB2312" w:eastAsia="仿宋_GB2312"/>
          <w:bCs/>
          <w:sz w:val="32"/>
          <w:szCs w:val="32"/>
        </w:rPr>
        <w:t>来</w:t>
      </w:r>
      <w:r>
        <w:rPr>
          <w:rFonts w:hint="eastAsia" w:ascii="仿宋_GB2312" w:eastAsia="仿宋_GB2312"/>
          <w:sz w:val="32"/>
          <w:szCs w:val="32"/>
        </w:rPr>
        <w:t>浙</w:t>
      </w:r>
      <w:r>
        <w:rPr>
          <w:rFonts w:hint="eastAsia" w:ascii="仿宋_GB2312" w:eastAsia="仿宋_GB2312"/>
          <w:bCs/>
          <w:sz w:val="32"/>
          <w:szCs w:val="32"/>
        </w:rPr>
        <w:t>途中应佩戴口罩，做好个人防护，鼓励考生全程接种新冠病毒疫苗。</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（二）完成核酸检测。参考人员应携带48小时内核酸检测阴性报告参加各招聘环节。确保各招聘环节期间每次进入考点时能查验到48小时内核酸检测阴性报告。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（三）各招聘环节前无法提供浙江“健康码”绿码、</w:t>
      </w:r>
      <w:r>
        <w:rPr>
          <w:rFonts w:hint="eastAsia" w:ascii="仿宋_GB2312" w:hAnsi="仿宋_GB2312" w:eastAsia="仿宋_GB2312" w:cs="仿宋_GB2312"/>
          <w:sz w:val="32"/>
          <w:szCs w:val="32"/>
        </w:rPr>
        <w:t>“通讯大数据行程卡”及“</w:t>
      </w:r>
      <w:r>
        <w:rPr>
          <w:rFonts w:hint="eastAsia" w:ascii="仿宋_GB2312" w:eastAsia="仿宋_GB2312"/>
          <w:sz w:val="32"/>
          <w:szCs w:val="32"/>
        </w:rPr>
        <w:t>48小时内核酸检测阴性报告</w:t>
      </w:r>
      <w:r>
        <w:rPr>
          <w:rFonts w:hint="eastAsia" w:ascii="仿宋_GB2312" w:hAnsi="仿宋_GB2312" w:eastAsia="仿宋_GB2312" w:cs="仿宋_GB2312"/>
          <w:sz w:val="32"/>
          <w:szCs w:val="32"/>
        </w:rPr>
        <w:t>”</w:t>
      </w:r>
      <w:r>
        <w:rPr>
          <w:rFonts w:hint="eastAsia" w:ascii="仿宋_GB2312" w:eastAsia="仿宋_GB2312"/>
          <w:sz w:val="32"/>
          <w:szCs w:val="32"/>
        </w:rPr>
        <w:t>的，不能参加招聘。</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浙江各地“健康码”在省内互认（除中、高风险地区外）。</w:t>
      </w:r>
    </w:p>
    <w:p>
      <w:pPr>
        <w:adjustRightInd w:val="0"/>
        <w:snapToGrid w:val="0"/>
        <w:spacing w:line="560" w:lineRule="exact"/>
        <w:rPr>
          <w:rFonts w:ascii="黑体" w:hAnsi="黑体" w:eastAsia="黑体"/>
          <w:sz w:val="32"/>
          <w:szCs w:val="32"/>
        </w:rPr>
      </w:pPr>
      <w:r>
        <w:rPr>
          <w:rFonts w:hint="eastAsia" w:ascii="黑体" w:hAnsi="黑体" w:eastAsia="黑体"/>
          <w:sz w:val="32"/>
          <w:szCs w:val="32"/>
        </w:rPr>
        <w:t xml:space="preserve">    二、考生应服从现场疫情防控管理</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应配合工作人员防疫工作，经相关检测后进入考点。填报材料中应服从相应的防疫处置。完毕后应及时离开。</w:t>
      </w:r>
    </w:p>
    <w:p>
      <w:pPr>
        <w:adjustRightInd w:val="0"/>
        <w:snapToGrid w:val="0"/>
        <w:spacing w:line="560" w:lineRule="exact"/>
        <w:ind w:firstLine="640"/>
        <w:rPr>
          <w:rFonts w:ascii="仿宋_GB2312" w:hAnsi="楷体" w:eastAsia="仿宋_GB2312"/>
          <w:sz w:val="32"/>
          <w:szCs w:val="32"/>
        </w:rPr>
      </w:pPr>
      <w:r>
        <w:rPr>
          <w:rFonts w:hint="eastAsia" w:ascii="仿宋_GB2312" w:eastAsia="仿宋_GB2312"/>
          <w:sz w:val="32"/>
          <w:szCs w:val="32"/>
        </w:rPr>
        <w:t>（一）考生符合以下情形的，可以进入考点。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1.浙江“健康码”为绿码、“</w:t>
      </w:r>
      <w:r>
        <w:rPr>
          <w:rFonts w:hint="eastAsia" w:ascii="仿宋_GB2312" w:hAnsi="仿宋_GB2312" w:eastAsia="仿宋_GB2312" w:cs="仿宋_GB2312"/>
          <w:sz w:val="32"/>
          <w:szCs w:val="32"/>
        </w:rPr>
        <w:t>行程卡</w:t>
      </w:r>
      <w:r>
        <w:rPr>
          <w:rFonts w:hint="eastAsia" w:ascii="仿宋_GB2312" w:eastAsia="仿宋_GB2312"/>
          <w:sz w:val="32"/>
          <w:szCs w:val="32"/>
        </w:rPr>
        <w:t>”不带星号</w:t>
      </w:r>
      <w:r>
        <w:rPr>
          <w:rFonts w:hint="eastAsia" w:ascii="仿宋_GB2312" w:hAnsi="仿宋_GB2312" w:eastAsia="仿宋_GB2312" w:cs="仿宋_GB2312"/>
          <w:sz w:val="32"/>
          <w:szCs w:val="32"/>
        </w:rPr>
        <w:t>（需提前14天返浙）</w:t>
      </w:r>
      <w:r>
        <w:rPr>
          <w:rFonts w:hint="eastAsia" w:ascii="仿宋_GB2312" w:eastAsia="仿宋_GB2312"/>
          <w:sz w:val="32"/>
          <w:szCs w:val="32"/>
        </w:rPr>
        <w:t>，</w:t>
      </w:r>
      <w:r>
        <w:rPr>
          <w:rFonts w:ascii="仿宋_GB2312" w:eastAsia="仿宋_GB2312"/>
          <w:sz w:val="32"/>
          <w:szCs w:val="32"/>
        </w:rPr>
        <w:t>现场测温37.3</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下（允许间隔2-3分钟再测一次）</w:t>
      </w:r>
      <w:r>
        <w:rPr>
          <w:rFonts w:ascii="仿宋_GB2312" w:eastAsia="仿宋_GB2312"/>
          <w:sz w:val="32"/>
          <w:szCs w:val="32"/>
        </w:rPr>
        <w:t>，无咳嗽等相应症状</w:t>
      </w:r>
      <w:r>
        <w:rPr>
          <w:rFonts w:hint="eastAsia" w:ascii="仿宋_GB2312" w:eastAsia="仿宋_GB2312"/>
          <w:sz w:val="32"/>
          <w:szCs w:val="32"/>
        </w:rPr>
        <w:t>且能提供48小时内核酸检测阴性报告</w:t>
      </w:r>
      <w:r>
        <w:rPr>
          <w:rFonts w:ascii="仿宋_GB2312" w:eastAsia="仿宋_GB2312"/>
          <w:sz w:val="32"/>
          <w:szCs w:val="32"/>
        </w:rPr>
        <w:t>的</w:t>
      </w:r>
      <w:r>
        <w:rPr>
          <w:rFonts w:hint="eastAsia" w:ascii="仿宋_GB2312" w:eastAsia="仿宋_GB2312"/>
          <w:sz w:val="32"/>
          <w:szCs w:val="32"/>
        </w:rPr>
        <w:t>。</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浙江</w:t>
      </w:r>
      <w:r>
        <w:rPr>
          <w:rFonts w:hint="eastAsia" w:ascii="仿宋_GB2312" w:eastAsia="仿宋_GB2312"/>
          <w:bCs/>
          <w:sz w:val="32"/>
          <w:szCs w:val="32"/>
        </w:rPr>
        <w:t>“健康码”</w:t>
      </w:r>
      <w:r>
        <w:rPr>
          <w:rFonts w:ascii="仿宋_GB2312" w:eastAsia="仿宋_GB2312"/>
          <w:bCs/>
          <w:sz w:val="32"/>
          <w:szCs w:val="32"/>
        </w:rPr>
        <w:t>为绿码，现场测温37.3</w:t>
      </w:r>
      <w:r>
        <w:rPr>
          <w:rFonts w:hint="eastAsia" w:ascii="仿宋_GB2312" w:eastAsia="仿宋_GB2312"/>
          <w:bCs/>
          <w:sz w:val="32"/>
          <w:szCs w:val="32"/>
        </w:rPr>
        <w:t>℃</w:t>
      </w:r>
      <w:r>
        <w:rPr>
          <w:rFonts w:ascii="仿宋_GB2312" w:eastAsia="仿宋_GB2312"/>
          <w:bCs/>
          <w:sz w:val="32"/>
          <w:szCs w:val="32"/>
        </w:rPr>
        <w:t>以</w:t>
      </w:r>
      <w:r>
        <w:rPr>
          <w:rFonts w:hint="eastAsia" w:ascii="仿宋_GB2312" w:eastAsia="仿宋_GB2312"/>
          <w:bCs/>
          <w:sz w:val="32"/>
          <w:szCs w:val="32"/>
        </w:rPr>
        <w:t>下</w:t>
      </w:r>
      <w:r>
        <w:rPr>
          <w:rFonts w:ascii="仿宋_GB2312" w:eastAsia="仿宋_GB2312"/>
          <w:bCs/>
          <w:sz w:val="32"/>
          <w:szCs w:val="32"/>
        </w:rPr>
        <w:t>，无咳嗽等相应症状，但</w:t>
      </w:r>
      <w:r>
        <w:rPr>
          <w:rFonts w:hint="eastAsia" w:ascii="仿宋_GB2312" w:eastAsia="仿宋_GB2312"/>
          <w:bCs/>
          <w:sz w:val="32"/>
          <w:szCs w:val="32"/>
        </w:rPr>
        <w:t>进入考点</w:t>
      </w:r>
      <w:r>
        <w:rPr>
          <w:rFonts w:ascii="仿宋_GB2312" w:eastAsia="仿宋_GB2312"/>
          <w:bCs/>
          <w:sz w:val="32"/>
          <w:szCs w:val="32"/>
        </w:rPr>
        <w:t>前</w:t>
      </w:r>
      <w:r>
        <w:rPr>
          <w:rFonts w:hint="eastAsia" w:ascii="仿宋_GB2312" w:eastAsia="仿宋_GB2312"/>
          <w:bCs/>
          <w:sz w:val="32"/>
          <w:szCs w:val="32"/>
        </w:rPr>
        <w:t>曾经有</w:t>
      </w:r>
      <w:r>
        <w:rPr>
          <w:rFonts w:ascii="仿宋_GB2312" w:eastAsia="仿宋_GB2312"/>
          <w:bCs/>
          <w:sz w:val="32"/>
          <w:szCs w:val="32"/>
        </w:rPr>
        <w:t>国内中</w:t>
      </w:r>
      <w:r>
        <w:rPr>
          <w:rFonts w:hint="eastAsia" w:ascii="仿宋_GB2312" w:eastAsia="仿宋_GB2312"/>
          <w:bCs/>
          <w:sz w:val="32"/>
          <w:szCs w:val="32"/>
        </w:rPr>
        <w:t>高</w:t>
      </w:r>
      <w:r>
        <w:rPr>
          <w:rFonts w:ascii="仿宋_GB2312" w:eastAsia="仿宋_GB2312"/>
          <w:bCs/>
          <w:sz w:val="32"/>
          <w:szCs w:val="32"/>
        </w:rPr>
        <w:t>风险地区</w:t>
      </w:r>
      <w:r>
        <w:rPr>
          <w:rFonts w:hint="eastAsia" w:ascii="仿宋_GB2312" w:eastAsia="仿宋_GB2312"/>
          <w:bCs/>
          <w:sz w:val="32"/>
          <w:szCs w:val="32"/>
        </w:rPr>
        <w:t>、</w:t>
      </w:r>
      <w:r>
        <w:rPr>
          <w:rFonts w:ascii="仿宋_GB2312" w:eastAsia="仿宋_GB2312"/>
          <w:bCs/>
          <w:sz w:val="32"/>
          <w:szCs w:val="32"/>
        </w:rPr>
        <w:t>国内中</w:t>
      </w:r>
      <w:r>
        <w:rPr>
          <w:rFonts w:hint="eastAsia" w:ascii="仿宋_GB2312" w:eastAsia="仿宋_GB2312"/>
          <w:bCs/>
          <w:sz w:val="32"/>
          <w:szCs w:val="32"/>
        </w:rPr>
        <w:t>高</w:t>
      </w:r>
      <w:r>
        <w:rPr>
          <w:rFonts w:ascii="仿宋_GB2312" w:eastAsia="仿宋_GB2312"/>
          <w:bCs/>
          <w:sz w:val="32"/>
          <w:szCs w:val="32"/>
        </w:rPr>
        <w:t>风险地区</w:t>
      </w:r>
      <w:r>
        <w:rPr>
          <w:rFonts w:hint="eastAsia" w:ascii="仿宋_GB2312" w:hAnsi="仿宋_GB2312" w:eastAsia="仿宋_GB2312" w:cs="仿宋_GB2312"/>
          <w:sz w:val="32"/>
          <w:szCs w:val="32"/>
        </w:rPr>
        <w:t>所在地或参照中高风险地区管理所在地</w:t>
      </w:r>
      <w:r>
        <w:rPr>
          <w:rFonts w:hint="eastAsia" w:ascii="仿宋_GB2312" w:eastAsia="仿宋_GB2312"/>
          <w:bCs/>
          <w:sz w:val="32"/>
          <w:szCs w:val="32"/>
        </w:rPr>
        <w:t>旅居史的人员，须完成“</w:t>
      </w:r>
      <w:r>
        <w:rPr>
          <w:rFonts w:ascii="仿宋_GB2312" w:eastAsia="仿宋_GB2312"/>
          <w:bCs/>
          <w:sz w:val="32"/>
          <w:szCs w:val="32"/>
        </w:rPr>
        <w:t>7</w:t>
      </w:r>
      <w:r>
        <w:rPr>
          <w:rFonts w:hint="eastAsia" w:ascii="仿宋_GB2312" w:eastAsia="仿宋_GB2312"/>
          <w:bCs/>
          <w:sz w:val="32"/>
          <w:szCs w:val="32"/>
        </w:rPr>
        <w:t>+7”健康管理，即7天集中隔离医学观察和7天日常健康监测，能提供解除集中隔离医学观察证明和</w:t>
      </w:r>
      <w:r>
        <w:rPr>
          <w:rFonts w:hint="eastAsia" w:ascii="仿宋_GB2312" w:eastAsia="仿宋_GB2312"/>
          <w:sz w:val="32"/>
          <w:szCs w:val="32"/>
        </w:rPr>
        <w:t>48小时内核酸检测阴性报告</w:t>
      </w:r>
      <w:r>
        <w:rPr>
          <w:rFonts w:hint="eastAsia" w:ascii="仿宋_GB2312" w:eastAsia="仿宋_GB2312"/>
          <w:bCs/>
          <w:sz w:val="32"/>
          <w:szCs w:val="32"/>
        </w:rPr>
        <w:t>的；对已出现本土阳性病例尚未划分风险等级的县（市、区）旅居史的人员，须完成14天日常健康监测，能提供</w:t>
      </w:r>
      <w:r>
        <w:rPr>
          <w:rFonts w:hint="eastAsia" w:ascii="仿宋_GB2312" w:eastAsia="仿宋_GB2312"/>
          <w:sz w:val="32"/>
          <w:szCs w:val="32"/>
        </w:rPr>
        <w:t>48小时内核酸检测阴性报告</w:t>
      </w:r>
      <w:r>
        <w:rPr>
          <w:rFonts w:hint="eastAsia" w:ascii="仿宋_GB2312" w:eastAsia="仿宋_GB2312"/>
          <w:bCs/>
          <w:sz w:val="32"/>
          <w:szCs w:val="32"/>
        </w:rPr>
        <w:t>的</w:t>
      </w:r>
      <w:r>
        <w:rPr>
          <w:rFonts w:ascii="仿宋_GB2312" w:eastAsia="仿宋_GB2312"/>
          <w:bCs/>
          <w:sz w:val="32"/>
          <w:szCs w:val="32"/>
        </w:rPr>
        <w:t>。</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（二）考生有以下情形的，不能进入考点。</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1.浙江“健康码”为非绿码。</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2.浙江“健康码”为绿码，但不能提供48小时内核酸检测阴性报告</w:t>
      </w:r>
      <w:r>
        <w:rPr>
          <w:rFonts w:hint="eastAsia" w:ascii="仿宋_GB2312" w:eastAsia="仿宋_GB2312"/>
          <w:bCs/>
          <w:sz w:val="32"/>
          <w:szCs w:val="32"/>
        </w:rPr>
        <w:t>的。</w:t>
      </w:r>
    </w:p>
    <w:p>
      <w:pPr>
        <w:pStyle w:val="10"/>
        <w:shd w:val="clear" w:color="auto" w:fill="auto"/>
        <w:adjustRightInd w:val="0"/>
        <w:snapToGrid w:val="0"/>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3.28</w:t>
      </w:r>
      <w:r>
        <w:rPr>
          <w:rFonts w:hint="eastAsia" w:ascii="仿宋_GB2312" w:hAnsi="仿宋_GB2312" w:eastAsia="仿宋_GB2312" w:cs="仿宋_GB2312"/>
          <w:sz w:val="32"/>
          <w:szCs w:val="32"/>
        </w:rPr>
        <w:t>天内本人及其共同居住家庭成员有境外旅居史或相关人员接触史的；</w:t>
      </w:r>
      <w:r>
        <w:rPr>
          <w:rFonts w:ascii="仿宋_GB2312" w:hAnsi="仿宋_GB2312" w:eastAsia="仿宋_GB2312" w:cs="仿宋_GB2312"/>
          <w:sz w:val="32"/>
          <w:szCs w:val="32"/>
          <w:lang w:val="en-US"/>
        </w:rPr>
        <w:t>14</w:t>
      </w:r>
      <w:r>
        <w:rPr>
          <w:rFonts w:hint="eastAsia" w:ascii="仿宋_GB2312" w:hAnsi="仿宋_GB2312" w:eastAsia="仿宋_GB2312" w:cs="仿宋_GB2312"/>
          <w:sz w:val="32"/>
          <w:szCs w:val="32"/>
        </w:rPr>
        <w:t>天内有国内中高风险地区所在地或参照中高风险地区管理所在地旅居史的；14天内有与新冠病毒感染者（确诊病例或无症状感染者）、疑似病例接触史的。</w:t>
      </w:r>
    </w:p>
    <w:p>
      <w:pPr>
        <w:pStyle w:val="10"/>
        <w:shd w:val="clear" w:color="auto" w:fill="auto"/>
        <w:adjustRightInd w:val="0"/>
        <w:snapToGrid w:val="0"/>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14天内有过发热</w:t>
      </w:r>
      <w:r>
        <w:rPr>
          <w:rFonts w:hint="eastAsia" w:ascii="仿宋_GB2312" w:hAnsi="仿宋_GB2312" w:eastAsia="仿宋_GB2312" w:cs="仿宋_GB2312"/>
          <w:sz w:val="32"/>
          <w:szCs w:val="32"/>
          <w:lang w:val="en-US" w:bidi="en-US"/>
        </w:rPr>
        <w:t>（37. 3C</w:t>
      </w:r>
      <w:r>
        <w:rPr>
          <w:rFonts w:hint="eastAsia" w:ascii="仿宋_GB2312" w:hAnsi="仿宋_GB2312" w:eastAsia="仿宋_GB2312" w:cs="仿宋_GB2312"/>
          <w:sz w:val="32"/>
          <w:szCs w:val="32"/>
        </w:rPr>
        <w:t>以上）、干咳、咳痰、流涕等症状且未明确诊断或未痊愈的。</w:t>
      </w:r>
    </w:p>
    <w:p>
      <w:pPr>
        <w:pStyle w:val="10"/>
        <w:shd w:val="clear" w:color="auto" w:fill="auto"/>
        <w:adjustRightInd w:val="0"/>
        <w:snapToGrid w:val="0"/>
        <w:spacing w:line="50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尚未解除隔离医学观察者和尚处于日常健康监测的。</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6.不配合入口检测，以及不服从防疫管理的。</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7.其他经综合评估不能进入考点的。</w:t>
      </w:r>
    </w:p>
    <w:p>
      <w:pPr>
        <w:adjustRightInd w:val="0"/>
        <w:snapToGrid w:val="0"/>
        <w:spacing w:line="5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三、其他注意事项</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（一）来自国（境）外或国内中高风险地区的考生，因有旅行管制或隔离要求造成无法参加招聘流程的，视为正常放弃。如隐瞒情况擅自参加报名流程造成不良后果的，责任自负。</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二）开展自我健康监测。参考人员在考前14天起进行自我健康监测，每日早晚用水银温度计测腋下温度，自我观察有无寒战、咳嗽、腹泻等疑似症状，并填报个人健康申报表和考生承诺书（附件），注意本人或家庭同住人员有无居住旅行、途径国内中高险地区、境外等情况。如体温≥37.3℃,或出现疑似症状，应及时就诊，并报告当地卫生健康部门及组织单位，排除疑似症状后方可进入考点。</w:t>
      </w:r>
    </w:p>
    <w:p>
      <w:pPr>
        <w:pStyle w:val="10"/>
        <w:shd w:val="clear" w:color="auto" w:fill="auto"/>
        <w:adjustRightInd w:val="0"/>
        <w:snapToGrid w:val="0"/>
        <w:spacing w:line="500" w:lineRule="atLeast"/>
        <w:ind w:firstLine="640" w:firstLineChars="200"/>
        <w:rPr>
          <w:rFonts w:ascii="仿宋_GB2312" w:eastAsia="仿宋_GB2312"/>
          <w:sz w:val="32"/>
          <w:szCs w:val="32"/>
        </w:rPr>
      </w:pPr>
      <w:r>
        <w:rPr>
          <w:rFonts w:hint="eastAsia" w:ascii="仿宋_GB2312" w:eastAsia="仿宋_GB2312"/>
          <w:sz w:val="32"/>
          <w:szCs w:val="32"/>
        </w:rPr>
        <w:t>（三）考生应自备一次性医用外科口罩。</w:t>
      </w:r>
      <w:r>
        <w:rPr>
          <w:rFonts w:hint="eastAsia" w:ascii="仿宋_GB2312" w:hAnsi="仿宋_GB2312" w:eastAsia="仿宋_GB2312" w:cs="仿宋_GB2312"/>
          <w:sz w:val="32"/>
          <w:szCs w:val="32"/>
        </w:rPr>
        <w:t>在参考途中, 须全程规范佩戴一次性使用医用外科口罩，应尽量避免触摸公共场所可能被高频触摸的物体和部位（触摸后及时选手消毒），尽量避免在公共场所饮食，保持社交距离。</w:t>
      </w:r>
      <w:r>
        <w:rPr>
          <w:rFonts w:hint="eastAsia" w:ascii="仿宋_GB2312" w:eastAsia="仿宋_GB2312"/>
          <w:sz w:val="32"/>
          <w:szCs w:val="32"/>
        </w:rPr>
        <w:t>在考点入场时，要提前戴好口罩，主动出示“健康码”、“行程卡”和</w:t>
      </w:r>
      <w:r>
        <w:rPr>
          <w:rFonts w:hint="eastAsia" w:ascii="仿宋_GB2312" w:hAnsi="仿宋_GB2312" w:eastAsia="仿宋_GB2312" w:cs="仿宋_GB2312"/>
          <w:bCs/>
          <w:sz w:val="32"/>
          <w:szCs w:val="32"/>
          <w:lang w:val="en-US"/>
        </w:rPr>
        <w:t>48小时内核酸检测阴性报告，并</w:t>
      </w:r>
      <w:r>
        <w:rPr>
          <w:rFonts w:hint="eastAsia" w:ascii="仿宋_GB2312" w:eastAsia="仿宋_GB2312"/>
          <w:sz w:val="32"/>
          <w:szCs w:val="32"/>
        </w:rPr>
        <w:t>向组织单位提交个人健康申报表和考生承诺书。</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（四）为确保考生与他人健康安全，建议全程戴口罩如有不戴后果自负。</w:t>
      </w:r>
    </w:p>
    <w:p>
      <w:pPr>
        <w:pStyle w:val="10"/>
        <w:shd w:val="clear" w:color="auto" w:fill="auto"/>
        <w:adjustRightInd w:val="0"/>
        <w:snapToGrid w:val="0"/>
        <w:spacing w:line="5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（五）各招聘程序结束后，考生仍要加强自我健康监测，如14天内有发热，干咳等症状，应及时上报</w:t>
      </w:r>
      <w:r>
        <w:rPr>
          <w:rFonts w:hint="eastAsia" w:ascii="仿宋_GB2312" w:eastAsia="仿宋_GB2312"/>
          <w:sz w:val="32"/>
          <w:szCs w:val="32"/>
        </w:rPr>
        <w:t>当地卫生健康部门和</w:t>
      </w:r>
      <w:r>
        <w:rPr>
          <w:rFonts w:hint="eastAsia" w:ascii="仿宋_GB2312" w:hAnsi="仿宋_GB2312" w:eastAsia="仿宋_GB2312" w:cs="仿宋_GB2312"/>
          <w:sz w:val="32"/>
          <w:szCs w:val="32"/>
        </w:rPr>
        <w:t>招聘组织单位。</w:t>
      </w:r>
    </w:p>
    <w:p>
      <w:pPr>
        <w:adjustRightInd w:val="0"/>
        <w:snapToGrid w:val="0"/>
        <w:spacing w:line="560" w:lineRule="exact"/>
        <w:ind w:firstLine="660"/>
        <w:rPr>
          <w:rFonts w:ascii="仿宋_GB2312" w:eastAsia="仿宋_GB2312"/>
          <w:sz w:val="32"/>
          <w:szCs w:val="32"/>
        </w:rPr>
      </w:pPr>
      <w:r>
        <w:rPr>
          <w:rFonts w:ascii="仿宋_GB2312" w:eastAsia="仿宋_GB2312"/>
          <w:sz w:val="32"/>
          <w:szCs w:val="32"/>
        </w:rPr>
        <w:t>咨询电话：0571-</w:t>
      </w:r>
      <w:r>
        <w:rPr>
          <w:rFonts w:hint="eastAsia" w:ascii="仿宋_GB2312" w:eastAsia="仿宋_GB2312"/>
          <w:sz w:val="32"/>
          <w:szCs w:val="32"/>
        </w:rPr>
        <w:t>87280136（工作日9:00-12：00,14:00-17:30）。</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注：1.本须知内容视疫情变化情况，动态调整。考生可根据“国务院客户端”微信小程序实时查询地区的疫情风险等级。</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2.流行病学史，指国（境）外和国内中高风险地区旅居史，与新冠肺炎患者接触史等。</w:t>
      </w: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jc w:val="both"/>
        <w:rPr>
          <w:rFonts w:ascii="宋体" w:hAnsi="宋体" w:cs="宋体"/>
          <w:b/>
          <w:bCs/>
          <w:color w:val="111F2C"/>
          <w:sz w:val="36"/>
          <w:szCs w:val="36"/>
          <w:shd w:val="clear" w:color="auto" w:fill="FFFFFF"/>
        </w:rPr>
      </w:pPr>
    </w:p>
    <w:p>
      <w:pPr>
        <w:pStyle w:val="4"/>
        <w:widowControl/>
        <w:spacing w:before="0" w:beforeAutospacing="0" w:after="200" w:afterAutospacing="0" w:line="360" w:lineRule="atLeast"/>
        <w:rPr>
          <w:rFonts w:cs="Calibri"/>
          <w:color w:val="000000"/>
          <w:sz w:val="21"/>
          <w:szCs w:val="21"/>
        </w:rPr>
      </w:pPr>
      <w:r>
        <w:rPr>
          <w:rFonts w:hint="eastAsia" w:ascii="仿宋" w:hAnsi="仿宋" w:eastAsia="仿宋" w:cs="仿宋"/>
          <w:sz w:val="32"/>
        </w:rPr>
        <w:t>附件：</w:t>
      </w:r>
      <w:r>
        <w:rPr>
          <w:rFonts w:hint="eastAsia" w:ascii="宋体" w:hAnsi="宋体" w:cs="宋体"/>
          <w:b/>
          <w:bCs/>
          <w:color w:val="111F2C"/>
          <w:sz w:val="36"/>
          <w:szCs w:val="36"/>
          <w:shd w:val="clear" w:color="auto" w:fill="FFFFFF"/>
        </w:rPr>
        <w:t xml:space="preserve">          </w:t>
      </w:r>
      <w:r>
        <w:rPr>
          <w:rFonts w:ascii="宋体" w:hAnsi="宋体" w:cs="宋体"/>
          <w:b/>
          <w:bCs/>
          <w:color w:val="111F2C"/>
          <w:sz w:val="36"/>
          <w:szCs w:val="36"/>
          <w:shd w:val="clear" w:color="auto" w:fill="FFFFFF"/>
        </w:rPr>
        <w:t xml:space="preserve"> </w:t>
      </w:r>
      <w:r>
        <w:rPr>
          <w:rFonts w:hint="eastAsia" w:ascii="宋体" w:hAnsi="宋体" w:cs="宋体"/>
          <w:b/>
          <w:bCs/>
          <w:color w:val="111F2C"/>
          <w:sz w:val="36"/>
          <w:szCs w:val="36"/>
          <w:shd w:val="clear" w:color="auto" w:fill="FFFFFF"/>
        </w:rPr>
        <w:t>个人健康申报表</w:t>
      </w:r>
    </w:p>
    <w:tbl>
      <w:tblPr>
        <w:tblStyle w:val="5"/>
        <w:tblW w:w="8331" w:type="dxa"/>
        <w:jc w:val="center"/>
        <w:tblLayout w:type="fixed"/>
        <w:tblCellMar>
          <w:top w:w="0" w:type="dxa"/>
          <w:left w:w="0" w:type="dxa"/>
          <w:bottom w:w="0" w:type="dxa"/>
          <w:right w:w="0" w:type="dxa"/>
        </w:tblCellMar>
      </w:tblPr>
      <w:tblGrid>
        <w:gridCol w:w="5293"/>
        <w:gridCol w:w="3038"/>
      </w:tblGrid>
      <w:tr>
        <w:tblPrEx>
          <w:tblCellMar>
            <w:top w:w="0" w:type="dxa"/>
            <w:left w:w="0" w:type="dxa"/>
            <w:bottom w:w="0" w:type="dxa"/>
            <w:right w:w="0" w:type="dxa"/>
          </w:tblCellMar>
        </w:tblPrEx>
        <w:trPr>
          <w:trHeight w:val="593"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cs="Calibri"/>
                <w:sz w:val="21"/>
                <w:szCs w:val="21"/>
              </w:rPr>
            </w:pPr>
            <w:r>
              <w:rPr>
                <w:rFonts w:ascii="仿宋" w:hAnsi="仿宋" w:eastAsia="仿宋" w:cs="仿宋"/>
              </w:rPr>
              <w:t>1</w:t>
            </w:r>
            <w:r>
              <w:rPr>
                <w:rFonts w:hint="eastAsia" w:ascii="仿宋" w:hAnsi="仿宋" w:eastAsia="仿宋" w:cs="仿宋"/>
              </w:rPr>
              <w:t>.本人是否已申领并取得浙江“健康码”（绿码）、“行程卡”（</w:t>
            </w:r>
            <w:r>
              <w:rPr>
                <w:rFonts w:ascii="仿宋" w:hAnsi="仿宋" w:eastAsia="仿宋" w:cs="仿宋"/>
              </w:rPr>
              <w:t>14天在浙且不带星号）</w:t>
            </w:r>
            <w:r>
              <w:rPr>
                <w:rFonts w:hint="eastAsia" w:ascii="仿宋" w:hAnsi="仿宋" w:eastAsia="仿宋" w:cs="仿宋"/>
              </w:rPr>
              <w:t>和48小时内核酸检测阴性报告？</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cs="Calibri"/>
                <w:sz w:val="21"/>
                <w:szCs w:val="21"/>
              </w:rPr>
            </w:pPr>
            <w:r>
              <w:rPr>
                <w:rFonts w:ascii="Wingdings 2" w:hAnsi="Wingdings 2" w:eastAsia="Wingdings 2" w:cs="Wingdings 2"/>
              </w:rPr>
              <w:drawing>
                <wp:inline distT="0" distB="0" distL="114300" distR="114300">
                  <wp:extent cx="202565" cy="16192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112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仿宋" w:hAnsi="仿宋" w:eastAsia="仿宋" w:cs="仿宋"/>
              </w:rPr>
            </w:pPr>
            <w:r>
              <w:rPr>
                <w:rFonts w:hint="eastAsia" w:ascii="仿宋" w:hAnsi="仿宋" w:eastAsia="仿宋" w:cs="仿宋"/>
              </w:rPr>
              <w:t>2.本人及共同居住家庭成员是否有考前28天内国（境）外旅居史或相关人员接触史？</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cs="Calibri"/>
                <w:sz w:val="21"/>
                <w:szCs w:val="21"/>
              </w:rPr>
            </w:pPr>
            <w:r>
              <w:rPr>
                <w:rFonts w:ascii="Wingdings 2" w:hAnsi="Wingdings 2" w:eastAsia="Wingdings 2" w:cs="Wingdings 2"/>
              </w:rPr>
              <w:drawing>
                <wp:inline distT="0" distB="0" distL="114300" distR="114300">
                  <wp:extent cx="202565" cy="161925"/>
                  <wp:effectExtent l="0" t="0" r="698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1129"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仿宋" w:hAnsi="仿宋" w:eastAsia="仿宋" w:cs="仿宋"/>
              </w:rPr>
            </w:pPr>
            <w:r>
              <w:rPr>
                <w:rFonts w:hint="eastAsia" w:ascii="仿宋" w:hAnsi="仿宋" w:eastAsia="仿宋" w:cs="仿宋"/>
              </w:rPr>
              <w:t>3.本人是否有</w:t>
            </w:r>
            <w:r>
              <w:rPr>
                <w:rFonts w:ascii="仿宋" w:hAnsi="仿宋" w:eastAsia="仿宋" w:cs="仿宋"/>
              </w:rPr>
              <w:t>14</w:t>
            </w:r>
            <w:r>
              <w:rPr>
                <w:rFonts w:hint="eastAsia" w:ascii="仿宋" w:hAnsi="仿宋" w:eastAsia="仿宋" w:cs="仿宋"/>
              </w:rPr>
              <w:t>天内有国内中高风险地区所在地或参照中高风险地区管理所在地旅居史？</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Wingdings 2" w:hAnsi="Wingdings 2" w:eastAsia="Wingdings 2" w:cs="Wingdings 2"/>
              </w:rPr>
            </w:pPr>
            <w:r>
              <w:rPr>
                <w:rFonts w:ascii="Wingdings 2" w:hAnsi="Wingdings 2" w:eastAsia="Wingdings 2" w:cs="Wingdings 2"/>
              </w:rPr>
              <w:drawing>
                <wp:inline distT="0" distB="0" distL="114300" distR="114300">
                  <wp:extent cx="202565" cy="161925"/>
                  <wp:effectExtent l="0" t="0" r="698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仿宋" w:hAnsi="仿宋" w:eastAsia="仿宋" w:cs="仿宋"/>
                <w:shd w:val="pct10" w:color="auto" w:fill="FFFFFF"/>
              </w:rPr>
            </w:pPr>
            <w:r>
              <w:rPr>
                <w:rFonts w:hint="eastAsia" w:ascii="仿宋" w:hAnsi="仿宋" w:eastAsia="仿宋" w:cs="仿宋"/>
              </w:rPr>
              <w:t>4.本人在考前14天内是否有已出现本土阳性病例报告尚未划分风险等级的县（市、区）旅居史？</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Wingdings 2" w:hAnsi="Wingdings 2" w:eastAsia="Wingdings 2" w:cs="Wingdings 2"/>
              </w:rPr>
            </w:pPr>
            <w:r>
              <w:rPr>
                <w:rFonts w:ascii="Wingdings 2" w:hAnsi="Wingdings 2" w:eastAsia="Wingdings 2" w:cs="Wingdings 2"/>
              </w:rPr>
              <w:drawing>
                <wp:inline distT="0" distB="0" distL="114300" distR="114300">
                  <wp:extent cx="202565" cy="161925"/>
                  <wp:effectExtent l="0" t="0" r="698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1187"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eastAsia="仿宋" w:cs="Calibri"/>
                <w:sz w:val="21"/>
                <w:szCs w:val="21"/>
              </w:rPr>
            </w:pPr>
            <w:r>
              <w:rPr>
                <w:rFonts w:hint="eastAsia" w:ascii="仿宋" w:hAnsi="仿宋" w:eastAsia="仿宋" w:cs="仿宋"/>
              </w:rPr>
              <w:t>5.本人14天内是否有与新冠病毒感染者（确诊病例或无症状感染者）、疑似病例、发热或呼吸道症状患者接触史？</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cs="Calibri"/>
                <w:sz w:val="21"/>
                <w:szCs w:val="21"/>
              </w:rPr>
            </w:pPr>
            <w:r>
              <w:rPr>
                <w:rFonts w:ascii="Wingdings 2" w:hAnsi="Wingdings 2" w:eastAsia="Wingdings 2" w:cs="Wingdings 2"/>
              </w:rPr>
              <w:drawing>
                <wp:inline distT="0" distB="0" distL="114300" distR="114300">
                  <wp:extent cx="202565" cy="161925"/>
                  <wp:effectExtent l="0" t="0" r="698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825" w:hRule="atLeast"/>
          <w:jc w:val="center"/>
        </w:trPr>
        <w:tc>
          <w:tcPr>
            <w:tcW w:w="5293"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仿宋" w:hAnsi="仿宋" w:eastAsia="仿宋" w:cs="仿宋"/>
              </w:rPr>
            </w:pPr>
            <w:r>
              <w:rPr>
                <w:rFonts w:hint="eastAsia" w:ascii="仿宋" w:hAnsi="仿宋" w:eastAsia="仿宋" w:cs="仿宋"/>
              </w:rPr>
              <w:t>6.本人是否为仍在隔离治疗中的新冠肺炎确诊病例、疑似病例、无症状感染者、集中隔离期未满的密切接触者和次密切接触者？</w:t>
            </w:r>
          </w:p>
        </w:tc>
        <w:tc>
          <w:tcPr>
            <w:tcW w:w="3038" w:type="dxa"/>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cs="Calibri"/>
                <w:sz w:val="21"/>
                <w:szCs w:val="21"/>
              </w:rPr>
            </w:pPr>
            <w:r>
              <w:rPr>
                <w:rFonts w:ascii="Wingdings 2" w:hAnsi="Wingdings 2" w:eastAsia="Wingdings 2" w:cs="Wingdings 2"/>
              </w:rPr>
              <w:drawing>
                <wp:inline distT="0" distB="0" distL="114300" distR="114300">
                  <wp:extent cx="202565" cy="161925"/>
                  <wp:effectExtent l="0" t="0" r="698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是   </w:t>
            </w:r>
            <w:r>
              <w:rPr>
                <w:rFonts w:ascii="Wingdings 2" w:hAnsi="Wingdings 2" w:eastAsia="Wingdings 2" w:cs="Wingdings 2"/>
              </w:rPr>
              <w:drawing>
                <wp:inline distT="0" distB="0" distL="114300" distR="114300">
                  <wp:extent cx="202565" cy="161925"/>
                  <wp:effectExtent l="0" t="0" r="698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202565" cy="161925"/>
                          </a:xfrm>
                          <a:prstGeom prst="rect">
                            <a:avLst/>
                          </a:prstGeom>
                          <a:noFill/>
                          <a:ln>
                            <a:noFill/>
                          </a:ln>
                        </pic:spPr>
                      </pic:pic>
                    </a:graphicData>
                  </a:graphic>
                </wp:inline>
              </w:drawing>
            </w:r>
            <w:r>
              <w:rPr>
                <w:rFonts w:hint="eastAsia" w:ascii="仿宋" w:hAnsi="仿宋" w:eastAsia="仿宋" w:cs="仿宋"/>
              </w:rPr>
              <w:t> 否</w:t>
            </w:r>
          </w:p>
        </w:tc>
      </w:tr>
      <w:tr>
        <w:tblPrEx>
          <w:tblCellMar>
            <w:top w:w="0" w:type="dxa"/>
            <w:left w:w="0" w:type="dxa"/>
            <w:bottom w:w="0" w:type="dxa"/>
            <w:right w:w="0" w:type="dxa"/>
          </w:tblCellMar>
        </w:tblPrEx>
        <w:trPr>
          <w:trHeight w:val="1790" w:hRule="atLeast"/>
          <w:jc w:val="center"/>
        </w:trPr>
        <w:tc>
          <w:tcPr>
            <w:tcW w:w="8331"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280" w:lineRule="atLeast"/>
              <w:rPr>
                <w:rFonts w:ascii="仿宋" w:hAnsi="仿宋" w:eastAsia="仿宋" w:cs="仿宋"/>
              </w:rPr>
            </w:pPr>
            <w:r>
              <w:rPr>
                <w:rFonts w:hint="eastAsia" w:ascii="仿宋" w:hAnsi="仿宋" w:eastAsia="仿宋" w:cs="仿宋"/>
              </w:rPr>
              <w:t>7.本人考前14天内，是否有以下症状？如有请在□内划√。</w:t>
            </w:r>
          </w:p>
          <w:p>
            <w:pPr>
              <w:pStyle w:val="4"/>
              <w:widowControl/>
              <w:spacing w:before="0" w:beforeAutospacing="0" w:after="200" w:afterAutospacing="0" w:line="280" w:lineRule="atLeast"/>
              <w:rPr>
                <w:rFonts w:ascii="仿宋" w:hAnsi="仿宋" w:eastAsia="仿宋" w:cs="仿宋"/>
              </w:rPr>
            </w:pPr>
            <w:r>
              <w:rPr>
                <w:rFonts w:hint="eastAsia" w:ascii="仿宋" w:hAnsi="仿宋" w:eastAsia="仿宋" w:cs="仿宋"/>
              </w:rPr>
              <w:t>症状：□发热□干咳</w:t>
            </w:r>
            <w:r>
              <w:rPr>
                <w:rFonts w:hint="eastAsia" w:ascii="仿宋" w:hAnsi="仿宋" w:eastAsia="仿宋" w:cs="仿宋"/>
              </w:rPr>
              <w:sym w:font="Wingdings 2" w:char="00A3"/>
            </w:r>
            <w:r>
              <w:rPr>
                <w:rFonts w:hint="eastAsia" w:ascii="仿宋" w:hAnsi="仿宋" w:eastAsia="仿宋" w:cs="仿宋"/>
              </w:rPr>
              <w:t>乏力□鼻塞</w:t>
            </w:r>
            <w:r>
              <w:rPr>
                <w:rFonts w:hint="eastAsia" w:ascii="仿宋" w:hAnsi="仿宋" w:eastAsia="仿宋" w:cs="仿宋"/>
              </w:rPr>
              <w:sym w:font="Wingdings 2" w:char="00A3"/>
            </w:r>
            <w:r>
              <w:rPr>
                <w:rFonts w:hint="eastAsia" w:ascii="仿宋" w:hAnsi="仿宋" w:eastAsia="仿宋" w:cs="仿宋"/>
              </w:rPr>
              <w:t>流涕□咽痛</w:t>
            </w:r>
            <w:r>
              <w:rPr>
                <w:rFonts w:hint="eastAsia" w:ascii="仿宋" w:hAnsi="仿宋" w:eastAsia="仿宋" w:cs="仿宋"/>
              </w:rPr>
              <w:sym w:font="Wingdings 2" w:char="00A3"/>
            </w:r>
            <w:r>
              <w:rPr>
                <w:rFonts w:hint="eastAsia" w:ascii="仿宋" w:hAnsi="仿宋" w:eastAsia="仿宋" w:cs="仿宋"/>
              </w:rPr>
              <w:t>嗅（味）觉减退□腹泻</w:t>
            </w:r>
          </w:p>
          <w:p>
            <w:pPr>
              <w:pStyle w:val="4"/>
              <w:widowControl/>
              <w:spacing w:before="0" w:beforeAutospacing="0" w:after="200" w:afterAutospacing="0" w:line="280" w:lineRule="atLeast"/>
              <w:ind w:firstLine="720" w:firstLineChars="300"/>
              <w:rPr>
                <w:rFonts w:cs="Calibri"/>
                <w:sz w:val="21"/>
                <w:szCs w:val="21"/>
              </w:rPr>
            </w:pPr>
            <w:r>
              <w:rPr>
                <w:rFonts w:hint="eastAsia" w:ascii="仿宋" w:hAnsi="仿宋" w:eastAsia="仿宋" w:cs="仿宋"/>
              </w:rPr>
              <w:t>□结膜炎□肌痛□其他症状</w:t>
            </w:r>
          </w:p>
        </w:tc>
      </w:tr>
      <w:tr>
        <w:tblPrEx>
          <w:tblCellMar>
            <w:top w:w="0" w:type="dxa"/>
            <w:left w:w="0" w:type="dxa"/>
            <w:bottom w:w="0" w:type="dxa"/>
            <w:right w:w="0" w:type="dxa"/>
          </w:tblCellMar>
        </w:tblPrEx>
        <w:trPr>
          <w:trHeight w:val="1113" w:hRule="atLeast"/>
          <w:jc w:val="center"/>
        </w:trPr>
        <w:tc>
          <w:tcPr>
            <w:tcW w:w="8331" w:type="dxa"/>
            <w:gridSpan w:val="2"/>
            <w:tcBorders>
              <w:top w:val="nil"/>
              <w:left w:val="nil"/>
              <w:bottom w:val="single" w:color="auto" w:sz="8" w:space="0"/>
              <w:right w:val="nil"/>
            </w:tcBorders>
            <w:shd w:val="clear" w:color="auto" w:fill="auto"/>
            <w:tcMar>
              <w:left w:w="108" w:type="dxa"/>
              <w:right w:w="108" w:type="dxa"/>
            </w:tcMar>
            <w:vAlign w:val="center"/>
          </w:tcPr>
          <w:p>
            <w:pPr>
              <w:pStyle w:val="4"/>
              <w:widowControl/>
              <w:spacing w:before="0" w:beforeAutospacing="0" w:after="200" w:afterAutospacing="0" w:line="540" w:lineRule="atLeast"/>
              <w:rPr>
                <w:rFonts w:ascii="Wingdings 2" w:hAnsi="Wingdings 2" w:eastAsia="Wingdings 2" w:cs="Wingdings 2"/>
              </w:rPr>
            </w:pPr>
            <w:r>
              <w:rPr>
                <w:rFonts w:hint="eastAsia" w:ascii="仿宋" w:hAnsi="仿宋" w:eastAsia="仿宋" w:cs="仿宋"/>
              </w:rPr>
              <w:t>8.是否有其他需要报告的情况？_________________________________（如没有，此栏不需填写。）</w:t>
            </w:r>
          </w:p>
        </w:tc>
      </w:tr>
      <w:tr>
        <w:tblPrEx>
          <w:tblCellMar>
            <w:top w:w="0" w:type="dxa"/>
            <w:left w:w="0" w:type="dxa"/>
            <w:bottom w:w="0" w:type="dxa"/>
            <w:right w:w="0" w:type="dxa"/>
          </w:tblCellMar>
        </w:tblPrEx>
        <w:trPr>
          <w:trHeight w:val="1113" w:hRule="atLeast"/>
          <w:jc w:val="center"/>
        </w:trPr>
        <w:tc>
          <w:tcPr>
            <w:tcW w:w="8331" w:type="dxa"/>
            <w:gridSpan w:val="2"/>
            <w:tcBorders>
              <w:top w:val="nil"/>
              <w:left w:val="nil"/>
              <w:bottom w:val="single" w:color="auto" w:sz="8" w:space="0"/>
              <w:right w:val="nil"/>
            </w:tcBorders>
            <w:shd w:val="clear" w:color="auto" w:fill="auto"/>
            <w:tcMar>
              <w:left w:w="108" w:type="dxa"/>
              <w:right w:w="108" w:type="dxa"/>
            </w:tcMar>
            <w:vAlign w:val="center"/>
          </w:tcPr>
          <w:p>
            <w:pPr>
              <w:wordWrap w:val="0"/>
              <w:jc w:val="left"/>
              <w:rPr>
                <w:b/>
                <w:sz w:val="28"/>
              </w:rPr>
            </w:pPr>
          </w:p>
          <w:p>
            <w:pPr>
              <w:jc w:val="left"/>
              <w:rPr>
                <w:b/>
                <w:sz w:val="28"/>
              </w:rPr>
            </w:pPr>
            <w:r>
              <w:rPr>
                <w:rFonts w:hint="eastAsia"/>
                <w:b/>
                <w:sz w:val="28"/>
              </w:rPr>
              <w:t xml:space="preserve">联系电话：                 考生签名： </w:t>
            </w:r>
          </w:p>
          <w:p>
            <w:pPr>
              <w:pStyle w:val="4"/>
              <w:widowControl/>
              <w:spacing w:before="0" w:beforeAutospacing="0" w:after="200" w:afterAutospacing="0" w:line="540" w:lineRule="atLeast"/>
              <w:jc w:val="right"/>
              <w:rPr>
                <w:rFonts w:ascii="仿宋" w:hAnsi="仿宋" w:eastAsia="仿宋" w:cs="仿宋"/>
              </w:rPr>
            </w:pPr>
            <w:r>
              <w:rPr>
                <w:rFonts w:hint="eastAsia"/>
                <w:b/>
                <w:sz w:val="28"/>
              </w:rPr>
              <w:t xml:space="preserve"> 年    月    日</w:t>
            </w:r>
          </w:p>
        </w:tc>
      </w:tr>
      <w:tr>
        <w:tblPrEx>
          <w:tblCellMar>
            <w:top w:w="0" w:type="dxa"/>
            <w:left w:w="0" w:type="dxa"/>
            <w:bottom w:w="0" w:type="dxa"/>
            <w:right w:w="0" w:type="dxa"/>
          </w:tblCellMar>
        </w:tblPrEx>
        <w:trPr>
          <w:trHeight w:val="3562" w:hRule="atLeast"/>
          <w:jc w:val="center"/>
        </w:trPr>
        <w:tc>
          <w:tcPr>
            <w:tcW w:w="8331" w:type="dxa"/>
            <w:gridSpan w:val="2"/>
            <w:tcBorders>
              <w:top w:val="nil"/>
              <w:left w:val="nil"/>
              <w:bottom w:val="nil"/>
              <w:right w:val="nil"/>
            </w:tcBorders>
            <w:shd w:val="clear" w:color="auto" w:fill="auto"/>
            <w:tcMar>
              <w:left w:w="108" w:type="dxa"/>
              <w:right w:w="108" w:type="dxa"/>
            </w:tcMar>
            <w:vAlign w:val="center"/>
          </w:tcPr>
          <w:p>
            <w:pPr>
              <w:wordWrap w:val="0"/>
              <w:rPr>
                <w:b/>
                <w:sz w:val="28"/>
              </w:rPr>
            </w:pPr>
            <w:r>
              <w:rPr>
                <w:rFonts w:hint="eastAsia"/>
                <w:b/>
                <w:sz w:val="28"/>
              </w:rPr>
              <w:t xml:space="preserve">  </w:t>
            </w:r>
          </w:p>
          <w:p>
            <w:pPr>
              <w:pStyle w:val="4"/>
              <w:widowControl/>
              <w:spacing w:before="0" w:beforeAutospacing="0" w:after="200" w:afterAutospacing="0" w:line="540" w:lineRule="atLeast"/>
              <w:jc w:val="both"/>
              <w:rPr>
                <w:rFonts w:ascii="宋体" w:hAnsi="宋体" w:cs="宋体"/>
                <w:b/>
                <w:bCs/>
                <w:sz w:val="36"/>
                <w:szCs w:val="36"/>
              </w:rPr>
            </w:pPr>
          </w:p>
          <w:p>
            <w:pPr>
              <w:pStyle w:val="4"/>
              <w:widowControl/>
              <w:spacing w:before="0" w:beforeAutospacing="0" w:after="200" w:afterAutospacing="0" w:line="540" w:lineRule="atLeast"/>
              <w:jc w:val="center"/>
              <w:rPr>
                <w:rFonts w:cs="Calibri"/>
                <w:sz w:val="21"/>
                <w:szCs w:val="21"/>
              </w:rPr>
            </w:pPr>
            <w:r>
              <w:rPr>
                <w:rFonts w:hint="eastAsia" w:ascii="宋体" w:hAnsi="宋体" w:cs="宋体"/>
                <w:b/>
                <w:bCs/>
                <w:sz w:val="36"/>
                <w:szCs w:val="36"/>
              </w:rPr>
              <w:t>考生承诺书</w:t>
            </w:r>
          </w:p>
          <w:p>
            <w:pPr>
              <w:pStyle w:val="4"/>
              <w:widowControl/>
              <w:shd w:val="clear" w:color="auto" w:fill="FFFFFF"/>
              <w:spacing w:before="0" w:beforeAutospacing="0" w:after="0" w:afterAutospacing="0" w:line="400" w:lineRule="atLeast"/>
              <w:ind w:firstLine="480" w:firstLineChars="200"/>
              <w:jc w:val="both"/>
              <w:rPr>
                <w:rFonts w:eastAsia="仿宋" w:cs="Calibri"/>
                <w:sz w:val="21"/>
                <w:szCs w:val="21"/>
              </w:rPr>
            </w:pPr>
            <w:r>
              <w:rPr>
                <w:rFonts w:hint="eastAsia" w:ascii="仿宋" w:hAnsi="仿宋" w:eastAsia="仿宋" w:cs="仿宋"/>
                <w:shd w:val="clear" w:color="auto" w:fill="FFFFFF"/>
              </w:rPr>
              <w:t>（1）本人已详尽阅读《2022年杭州市公安局第二批招聘警务辅助人员防疫须知》及疫情防控有关告知事项说明，了解本人健康证明义务及考试防疫要求，自愿遵守考试期间疫情防控管理有关规定，自行做好个人防护工作，自觉配合体温测量、健康码、行程卡和核酸检测报告查验等工作。</w:t>
            </w:r>
          </w:p>
          <w:p>
            <w:pPr>
              <w:pStyle w:val="4"/>
              <w:widowControl/>
              <w:shd w:val="clear" w:color="auto" w:fill="FFFFFF"/>
              <w:spacing w:before="0" w:beforeAutospacing="0" w:after="0" w:afterAutospacing="0" w:line="400" w:lineRule="atLeast"/>
              <w:ind w:firstLine="360"/>
              <w:jc w:val="both"/>
              <w:rPr>
                <w:rFonts w:ascii="仿宋" w:hAnsi="仿宋" w:eastAsia="仿宋" w:cs="仿宋"/>
                <w:shd w:val="clear" w:color="auto" w:fill="FFFFFF"/>
              </w:rPr>
            </w:pPr>
            <w:r>
              <w:rPr>
                <w:rFonts w:hint="eastAsia" w:ascii="仿宋" w:hAnsi="仿宋" w:eastAsia="仿宋" w:cs="仿宋"/>
                <w:shd w:val="clear" w:color="auto" w:fill="FFFFFF"/>
              </w:rPr>
              <w:t>（2）本人承诺，本人符合本次考试疫情防控有关要求，不存在“不得进入考点”的情形。招聘期间自觉遵守国家、浙江省和杭州市有关法律及传染病防控各项规定。</w:t>
            </w:r>
          </w:p>
          <w:p>
            <w:pPr>
              <w:pStyle w:val="4"/>
              <w:widowControl/>
              <w:shd w:val="clear" w:color="auto" w:fill="FFFFFF"/>
              <w:spacing w:before="0" w:beforeAutospacing="0" w:after="0" w:afterAutospacing="0" w:line="400" w:lineRule="atLeast"/>
              <w:ind w:firstLine="360"/>
              <w:jc w:val="both"/>
              <w:rPr>
                <w:rFonts w:cs="Calibri"/>
                <w:sz w:val="21"/>
                <w:szCs w:val="21"/>
              </w:rPr>
            </w:pPr>
            <w:r>
              <w:rPr>
                <w:rFonts w:hint="eastAsia" w:ascii="仿宋" w:hAnsi="仿宋" w:eastAsia="仿宋" w:cs="仿宋"/>
                <w:shd w:val="clear" w:color="auto" w:fill="FFFFFF"/>
              </w:rPr>
              <w:t>（3）本人承诺，本人填报、提交和现场出示的所有信息（证明）均真实、准确、完整、有效，如有承诺不实、隐瞒病史和接触史、瞒报漏报健康情况、逃避防疫措施的，愿承担相应法律责任并接受处理。</w:t>
            </w:r>
          </w:p>
          <w:p>
            <w:pPr>
              <w:pStyle w:val="4"/>
              <w:widowControl/>
              <w:shd w:val="clear" w:color="auto" w:fill="FFFFFF"/>
              <w:spacing w:before="0" w:beforeAutospacing="0" w:after="0" w:afterAutospacing="0" w:line="400" w:lineRule="atLeast"/>
              <w:ind w:firstLine="360"/>
              <w:jc w:val="both"/>
              <w:rPr>
                <w:rFonts w:ascii="仿宋" w:hAnsi="仿宋" w:eastAsia="仿宋" w:cs="仿宋"/>
                <w:shd w:val="clear" w:color="auto" w:fill="FFFFFF"/>
              </w:rPr>
            </w:pPr>
            <w:r>
              <w:rPr>
                <w:rFonts w:hint="eastAsia" w:ascii="仿宋" w:hAnsi="仿宋" w:eastAsia="仿宋" w:cs="仿宋"/>
                <w:shd w:val="clear" w:color="auto" w:fill="FFFFFF"/>
              </w:rPr>
              <w:t>（4）自本人申报健康情况之日至开考时，如上述填报信息发生变化，或出现咳嗽、发热等身体不适情况，将主动报告，自觉接受流行病学调查，并积极配合落实相关疫情防控措施。</w:t>
            </w:r>
          </w:p>
        </w:tc>
      </w:tr>
    </w:tbl>
    <w:p/>
    <w:p/>
    <w:p>
      <w:pPr>
        <w:wordWrap w:val="0"/>
        <w:ind w:firstLine="281" w:firstLineChars="100"/>
        <w:rPr>
          <w:b/>
          <w:sz w:val="28"/>
        </w:rPr>
      </w:pPr>
      <w:r>
        <w:rPr>
          <w:rFonts w:hint="eastAsia"/>
          <w:b/>
          <w:sz w:val="28"/>
        </w:rPr>
        <w:t xml:space="preserve">联系电话：                     考生签名：          </w:t>
      </w:r>
    </w:p>
    <w:p>
      <w:pPr>
        <w:jc w:val="right"/>
        <w:rPr>
          <w:b/>
          <w:sz w:val="28"/>
        </w:rPr>
      </w:pPr>
      <w:r>
        <w:rPr>
          <w:rFonts w:hint="eastAsia"/>
          <w:b/>
          <w:sz w:val="28"/>
        </w:rPr>
        <w:t xml:space="preserve">  年   月   日</w:t>
      </w:r>
    </w:p>
    <w:p>
      <w:pPr>
        <w:adjustRightInd w:val="0"/>
        <w:snapToGrid w:val="0"/>
        <w:spacing w:line="600" w:lineRule="exact"/>
        <w:ind w:firstLine="64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6hkaMQBAACR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avUqS9QHqDHzLmBuGt76AdNnP6AzMx9UtPmLnAjGUeDzVWA5JCLyo/Vqva4wJDA2XxCfPTwPEdI7&#10;6S3JRkMjTrAIy08fII2pc0qu5vytNqZM0bi/HIiZPSz3PvaYrTTsh4nQ3rdn5NPj8BvqcNcpMe8d&#10;apv3ZDbibOwnI9eA8OaYsHDpJ6OOUFMxnFRhNG1VXoU/7yXr4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w6hkaMQBAACRAwAADgAAAAAAAAABACAAAAAeAQAAZHJzL2Uyb0RvYy54bWxQ&#10;SwUGAAAAAAYABgBZAQAAVA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E4"/>
    <w:rsid w:val="00011A8F"/>
    <w:rsid w:val="00030CB2"/>
    <w:rsid w:val="00070E7B"/>
    <w:rsid w:val="000A421B"/>
    <w:rsid w:val="000C5EE3"/>
    <w:rsid w:val="00102D93"/>
    <w:rsid w:val="00110546"/>
    <w:rsid w:val="001209D0"/>
    <w:rsid w:val="001516CE"/>
    <w:rsid w:val="00211D4D"/>
    <w:rsid w:val="002143B1"/>
    <w:rsid w:val="00214B5E"/>
    <w:rsid w:val="00217695"/>
    <w:rsid w:val="002468E4"/>
    <w:rsid w:val="002E4F34"/>
    <w:rsid w:val="003C5043"/>
    <w:rsid w:val="0041257B"/>
    <w:rsid w:val="004662DB"/>
    <w:rsid w:val="00553495"/>
    <w:rsid w:val="005E54F9"/>
    <w:rsid w:val="00601620"/>
    <w:rsid w:val="006243E4"/>
    <w:rsid w:val="006B2A5D"/>
    <w:rsid w:val="00726982"/>
    <w:rsid w:val="007939FC"/>
    <w:rsid w:val="00853EEB"/>
    <w:rsid w:val="00877CE6"/>
    <w:rsid w:val="009203D7"/>
    <w:rsid w:val="009239F3"/>
    <w:rsid w:val="00941EAA"/>
    <w:rsid w:val="00A049A6"/>
    <w:rsid w:val="00A349B8"/>
    <w:rsid w:val="00A64AB7"/>
    <w:rsid w:val="00A64B1C"/>
    <w:rsid w:val="00A6650F"/>
    <w:rsid w:val="00AB2173"/>
    <w:rsid w:val="00AD27D8"/>
    <w:rsid w:val="00AD36A0"/>
    <w:rsid w:val="00BD6B9F"/>
    <w:rsid w:val="00C216FA"/>
    <w:rsid w:val="00C67C29"/>
    <w:rsid w:val="00C75466"/>
    <w:rsid w:val="00C80119"/>
    <w:rsid w:val="00CC3E44"/>
    <w:rsid w:val="00DC7497"/>
    <w:rsid w:val="00E13592"/>
    <w:rsid w:val="00E37EF6"/>
    <w:rsid w:val="00E47B93"/>
    <w:rsid w:val="00E91F61"/>
    <w:rsid w:val="00EA6F72"/>
    <w:rsid w:val="00EC7210"/>
    <w:rsid w:val="00F25D73"/>
    <w:rsid w:val="00F50467"/>
    <w:rsid w:val="0BC11FBE"/>
    <w:rsid w:val="15864AC7"/>
    <w:rsid w:val="24436691"/>
    <w:rsid w:val="273309A4"/>
    <w:rsid w:val="31A92452"/>
    <w:rsid w:val="31D81C90"/>
    <w:rsid w:val="32D07469"/>
    <w:rsid w:val="39D35062"/>
    <w:rsid w:val="3BFA5FAA"/>
    <w:rsid w:val="3F9E7DE7"/>
    <w:rsid w:val="49695E85"/>
    <w:rsid w:val="572A28FD"/>
    <w:rsid w:val="5E5719FB"/>
    <w:rsid w:val="5F737042"/>
    <w:rsid w:val="60D62617"/>
    <w:rsid w:val="627E0372"/>
    <w:rsid w:val="6974372B"/>
    <w:rsid w:val="6A8D707C"/>
    <w:rsid w:val="6BBFA638"/>
    <w:rsid w:val="6D913C62"/>
    <w:rsid w:val="6F716DB9"/>
    <w:rsid w:val="6F916E2C"/>
    <w:rsid w:val="71277CB2"/>
    <w:rsid w:val="74796027"/>
    <w:rsid w:val="76F52B28"/>
    <w:rsid w:val="79CA7D39"/>
    <w:rsid w:val="7A6E1C14"/>
    <w:rsid w:val="7BDF22DA"/>
    <w:rsid w:val="7D3AFF54"/>
    <w:rsid w:val="87C74D60"/>
    <w:rsid w:val="B3B7EF2E"/>
    <w:rsid w:val="B7FBB700"/>
    <w:rsid w:val="BE3BA426"/>
    <w:rsid w:val="BFFF4E4C"/>
    <w:rsid w:val="DE9F967F"/>
    <w:rsid w:val="E5E4FD62"/>
    <w:rsid w:val="EFEA4B7D"/>
    <w:rsid w:val="FDD9C162"/>
    <w:rsid w:val="FE73DA28"/>
    <w:rsid w:val="FFB63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Times New Roman" w:hAnsi="Times New Roman"/>
      <w:kern w:val="0"/>
      <w:sz w:val="24"/>
    </w:rPr>
  </w:style>
  <w:style w:type="character" w:styleId="7">
    <w:name w:val="Hyperlink"/>
    <w:basedOn w:val="6"/>
    <w:unhideWhenUsed/>
    <w:qFormat/>
    <w:uiPriority w:val="99"/>
    <w:rPr>
      <w:color w:val="000000"/>
      <w:sz w:val="18"/>
      <w:szCs w:val="18"/>
      <w:u w:val="non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正文文本1"/>
    <w:basedOn w:val="1"/>
    <w:qFormat/>
    <w:uiPriority w:val="0"/>
    <w:pPr>
      <w:shd w:val="clear" w:color="auto" w:fill="FFFFFF"/>
      <w:spacing w:line="391" w:lineRule="auto"/>
      <w:ind w:firstLine="400"/>
    </w:pPr>
    <w:rPr>
      <w:rFonts w:ascii="MingLiU" w:hAnsi="MingLiU" w:eastAsia="MingLiU" w:cs="MingLiU"/>
      <w:sz w:val="28"/>
      <w:szCs w:val="28"/>
      <w:lang w:val="zh-CN" w:bidi="zh-CN"/>
    </w:rPr>
  </w:style>
  <w:style w:type="paragraph" w:customStyle="1" w:styleId="11">
    <w:name w:val="正文文本 (2)"/>
    <w:basedOn w:val="1"/>
    <w:qFormat/>
    <w:uiPriority w:val="0"/>
    <w:pPr>
      <w:shd w:val="clear" w:color="auto" w:fill="FFFFFF"/>
      <w:spacing w:line="257" w:lineRule="auto"/>
      <w:ind w:firstLine="210"/>
    </w:pPr>
    <w:rPr>
      <w:rFonts w:ascii="MingLiU" w:hAnsi="MingLiU" w:eastAsia="MingLiU" w:cs="MingLiU"/>
      <w:sz w:val="20"/>
      <w:szCs w:val="20"/>
      <w:lang w:val="zh-CN" w:bidi="zh-CN"/>
    </w:rPr>
  </w:style>
  <w:style w:type="paragraph" w:customStyle="1" w:styleId="12">
    <w:name w:val="表格标题"/>
    <w:basedOn w:val="1"/>
    <w:qFormat/>
    <w:uiPriority w:val="0"/>
    <w:pPr>
      <w:shd w:val="clear" w:color="auto" w:fill="FFFFFF"/>
    </w:pPr>
    <w:rPr>
      <w:rFonts w:ascii="MingLiU" w:hAnsi="MingLiU" w:eastAsia="MingLiU" w:cs="MingLiU"/>
      <w:sz w:val="20"/>
      <w:szCs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447</Words>
  <Characters>2553</Characters>
  <Lines>21</Lines>
  <Paragraphs>5</Paragraphs>
  <TotalTime>52</TotalTime>
  <ScaleCrop>false</ScaleCrop>
  <LinksUpToDate>false</LinksUpToDate>
  <CharactersWithSpaces>2995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2021-06-26T00:41:00Z</dcterms:created>
  <dc:creator>admin</dc:creator>
  <cp:lastModifiedBy>33010121</cp:lastModifiedBy>
  <cp:lastPrinted>2022-03-31T08:29:00Z</cp:lastPrinted>
  <dcterms:modified xsi:type="dcterms:W3CDTF">2022-06-06T03:08:00Z</dcterms:modified>
  <dc:title>关于2021年杭州市公安局上城区分局招录警务辅助人员最新防疫须知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