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center"/>
      </w:pPr>
      <w:r>
        <w:rPr>
          <w:rFonts w:ascii="微软雅黑" w:hAnsi="微软雅黑" w:eastAsia="微软雅黑" w:cs="微软雅黑"/>
          <w:color w:val="4A4B55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</w:pPr>
      <w:r>
        <w:rPr>
          <w:rStyle w:val="5"/>
          <w:rFonts w:hint="eastAsia" w:ascii="微软雅黑" w:hAnsi="微软雅黑" w:eastAsia="微软雅黑" w:cs="微软雅黑"/>
          <w:color w:val="4A4B55"/>
          <w:sz w:val="31"/>
          <w:szCs w:val="31"/>
          <w:shd w:val="clear" w:fill="FFFFFF"/>
        </w:rPr>
        <w:t>2021年温州市中西医结合医院面向社会公开选聘研究生一览表（二）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color w:val="4A4B55"/>
          <w:sz w:val="24"/>
          <w:szCs w:val="24"/>
          <w:shd w:val="clear" w:fill="FFFFFF"/>
        </w:rPr>
        <w:t> </w:t>
      </w:r>
    </w:p>
    <w:tbl>
      <w:tblPr>
        <w:tblW w:w="5000" w:type="pct"/>
        <w:tblCellSpacing w:w="0" w:type="dxa"/>
        <w:tblInd w:w="15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4"/>
        <w:gridCol w:w="6096"/>
        <w:gridCol w:w="1204"/>
        <w:gridCol w:w="3381"/>
        <w:gridCol w:w="144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岗位名称</w:t>
            </w:r>
          </w:p>
        </w:tc>
        <w:tc>
          <w:tcPr>
            <w:tcW w:w="3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专业要求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人数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学历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心血管内科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临床医学（心血管病方向）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神经内科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临床医学（神经病学方向）、中医学（中医脑病学方向优先）、中西医结合临床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神经外科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中西医结合临床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普外科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外科学（普外方向）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内分泌科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内科学（内分泌方向优先）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重症医学科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临床医学（重症、急诊、心血管、呼吸等方向优先）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急诊科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临床医学（全科医学、重症、中毒、急救、危重症、内科方向优先）、中西医结合临床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紧缺岗位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口腔科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口腔医学类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紧缺岗位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麻醉手术科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麻醉学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推拿科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针灸推拿学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紧缺岗位，男性优先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耳鼻喉科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耳鼻咽喉科学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全科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临床医学（全科医学）、中医学（全科医学）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紧缺岗位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精神科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临床医学（精神病与精神卫生学优先）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紧缺岗位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放射科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影像医学与核医学、放射影像学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紧缺岗位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病理科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病理学、病理学与病理生理学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紧缺岗位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护理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护理学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党政综合办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管理学相关专业、语言学及应用语言学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宣传统战科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管理学相关专业、语言学及应用语言学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总务科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机械工程类，供热、供燃气、通风及空调工程，动力工程及工程热物理类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科教科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中医学、中西医结合临床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紧缺岗位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人事科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图书馆情报与档案管理类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财务科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财务管理、财务学、会计、会计学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硕士研究生及以上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紧缺岗位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color w:val="4A4B55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color w:val="4A4B55"/>
          <w:sz w:val="31"/>
          <w:szCs w:val="31"/>
          <w:shd w:val="clear" w:fill="FFFFFF"/>
        </w:rPr>
        <w:t>1.除紧缺岗位，其余均要求报考对象为2021年应届毕业生。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color w:val="4A4B55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color w:val="4A4B55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color w:val="4A4B55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D6E83"/>
    <w:rsid w:val="01C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FFFFFF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FFFFFF"/>
      <w:u w:val="none"/>
    </w:rPr>
  </w:style>
  <w:style w:type="character" w:styleId="9">
    <w:name w:val="HTML Code"/>
    <w:basedOn w:val="4"/>
    <w:uiPriority w:val="0"/>
    <w:rPr>
      <w:rFonts w:ascii="Courier New" w:hAnsi="Courier New"/>
      <w:sz w:val="20"/>
    </w:rPr>
  </w:style>
  <w:style w:type="character" w:styleId="10">
    <w:name w:val="HTML Cit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2021-05-12T02:27:00Z</dcterms:created>
  <dc:creator>Administrator</dc:creator>
  <cp:lastModifiedBy>Administrator</cp:lastModifiedBy>
  <dcterms:modified xsi:type="dcterms:W3CDTF">2021-05-12T06:20:43Z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