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615"/>
        <w:gridCol w:w="569"/>
        <w:gridCol w:w="644"/>
        <w:gridCol w:w="494"/>
        <w:gridCol w:w="285"/>
        <w:gridCol w:w="988"/>
        <w:gridCol w:w="3398"/>
        <w:gridCol w:w="569"/>
        <w:gridCol w:w="1408"/>
      </w:tblGrid>
      <w:tr w:rsidR="00EE368E" w:rsidRPr="00EE368E" w:rsidTr="00EE368E">
        <w:trPr>
          <w:trHeight w:val="240"/>
        </w:trPr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岗位类别</w:t>
            </w: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职责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招聘专业及</w:t>
            </w:r>
          </w:p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学历（学位）要求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范围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其他资格条件</w:t>
            </w:r>
          </w:p>
        </w:tc>
      </w:tr>
      <w:tr w:rsidR="00EE368E" w:rsidRPr="00EE368E" w:rsidTr="00EE368E">
        <w:trPr>
          <w:trHeight w:val="645"/>
        </w:trPr>
        <w:tc>
          <w:tcPr>
            <w:tcW w:w="1185" w:type="dxa"/>
            <w:gridSpan w:val="2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ind w:firstLine="3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宁波市气象局下属单位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综合气象业务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承担县级综合气象业务工作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大气科学、应用气象学、气象学、海洋气象学专业；</w:t>
            </w:r>
          </w:p>
          <w:p w:rsidR="00EE368E" w:rsidRPr="00EE368E" w:rsidRDefault="00EE368E" w:rsidP="00EE36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大学本科及以上学历、学士及以上学位；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2019年全日制普通高校应届毕业生。</w:t>
            </w:r>
          </w:p>
        </w:tc>
      </w:tr>
      <w:tr w:rsidR="00EE368E" w:rsidRPr="00EE368E" w:rsidTr="00EE368E">
        <w:trPr>
          <w:trHeight w:val="645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备注：</w:t>
            </w:r>
          </w:p>
        </w:tc>
        <w:tc>
          <w:tcPr>
            <w:tcW w:w="835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68E" w:rsidRPr="00EE368E" w:rsidRDefault="00EE368E" w:rsidP="00EE368E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E36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2019年全日制普通高校应届毕业生报名时应提供学生证或学校推荐表，但须于2019年9月30日前取得学历学位证书（到时未取得的不予录用）；2018年9月1日至2019年8月31日毕业的国（境）外留学归国（境）人员可等同于2019年全日制普通应届毕业生，报考时仍未毕业的可凭国（境）外学校学籍证明报名，但须于2019年9月30日前取得国家教育部学历学位认证书（到时未取得的不予录用），专业相近的以所学课程为准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E254F"/>
    <w:rsid w:val="008B7726"/>
    <w:rsid w:val="00D31D50"/>
    <w:rsid w:val="00EE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6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2018-11-12T09:10:00Z</dcterms:modified>
</cp:coreProperties>
</file>