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479"/>
        <w:gridCol w:w="420"/>
        <w:gridCol w:w="3160"/>
        <w:gridCol w:w="2651"/>
        <w:gridCol w:w="420"/>
        <w:gridCol w:w="1962"/>
      </w:tblGrid>
      <w:tr w:rsidR="00E937BC" w:rsidRPr="00E937BC" w:rsidTr="00E937BC">
        <w:trPr>
          <w:trHeight w:val="54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选聘</w:t>
            </w:r>
          </w:p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选聘</w:t>
            </w:r>
          </w:p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职责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专业及</w:t>
            </w:r>
          </w:p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学历（学位）要求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E937BC" w:rsidRPr="00E937BC" w:rsidTr="00E937BC">
        <w:trPr>
          <w:trHeight w:val="72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宁波中东欧博览与合作事务局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与中东欧国家和“一带一路”沿线国家相关机构、我国驻中东欧国家经商参处、中东欧国家驻华使领馆的联络；负责组织落实宁波与中东欧国家政府间各类外事会见、经贸对接、会议论坛等活动；该岗位需经常出差或长驻外地工作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国际经济与贸易、英语或翻译二级学科专业；</w:t>
            </w:r>
          </w:p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本科及以上学历、学士及以上学位。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浙江省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有3年及以上从事大型外事活动的工作经历；拥有大学英语六级或专业八级英语资格证书；年龄35周岁以下。</w:t>
            </w:r>
          </w:p>
        </w:tc>
      </w:tr>
      <w:tr w:rsidR="00E937BC" w:rsidRPr="00E937BC" w:rsidTr="00E937BC">
        <w:trPr>
          <w:trHeight w:val="570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宁波市商务研究中心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主要开展</w:t>
            </w: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商务经济发展的理论研究，跟踪分析宁波商务领域发展中的难点、热点问题，提出综合性政策建议；开展全市商务经济中长期发展战略和规划研究。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本科阶段为经济学、国际经济与贸易、贸易经济、投资经济、产业经济、区域经济、经济与金融或工商管理类的国际商务、电子商务专业；硕士研究生阶段为经济学和管理学一级学科专业。</w:t>
            </w:r>
          </w:p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研究生学历、硕士及以上学位。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937BC" w:rsidRPr="00E937BC" w:rsidRDefault="00E937BC" w:rsidP="00E937B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E937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具有2年及以上商务经济领域研究的工作经验；年龄35周岁以下。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48F1"/>
    <w:rsid w:val="008B7726"/>
    <w:rsid w:val="00D31D50"/>
    <w:rsid w:val="00E9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7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2018-10-23T09:05:00Z</dcterms:modified>
</cp:coreProperties>
</file>