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C8" w:rsidRDefault="002F27C8" w:rsidP="002F27C8">
      <w:pPr>
        <w:rPr>
          <w:rFonts w:ascii="仿宋" w:eastAsia="仿宋" w:hAnsi="仿宋"/>
          <w:sz w:val="32"/>
        </w:rPr>
      </w:pPr>
      <w:r>
        <w:rPr>
          <w:rFonts w:ascii="仿宋" w:eastAsia="仿宋" w:hAnsi="仿宋" w:hint="eastAsia"/>
          <w:sz w:val="32"/>
        </w:rPr>
        <w:t>附表1：</w:t>
      </w:r>
    </w:p>
    <w:p w:rsidR="002F27C8" w:rsidRDefault="002F27C8" w:rsidP="002F27C8">
      <w:pPr>
        <w:jc w:val="center"/>
        <w:rPr>
          <w:rFonts w:ascii="仿宋" w:eastAsia="仿宋" w:hAnsi="仿宋"/>
          <w:b/>
          <w:bCs/>
          <w:sz w:val="32"/>
        </w:rPr>
      </w:pPr>
      <w:r>
        <w:rPr>
          <w:rFonts w:ascii="仿宋" w:eastAsia="仿宋" w:hAnsi="仿宋" w:hint="eastAsia"/>
          <w:b/>
          <w:bCs/>
          <w:sz w:val="32"/>
        </w:rPr>
        <w:t>招聘岗位情况表</w:t>
      </w:r>
    </w:p>
    <w:tbl>
      <w:tblPr>
        <w:tblStyle w:val="a3"/>
        <w:tblW w:w="0" w:type="auto"/>
        <w:tblLayout w:type="fixed"/>
        <w:tblLook w:val="0000"/>
      </w:tblPr>
      <w:tblGrid>
        <w:gridCol w:w="1012"/>
        <w:gridCol w:w="1455"/>
        <w:gridCol w:w="855"/>
        <w:gridCol w:w="1620"/>
        <w:gridCol w:w="2010"/>
        <w:gridCol w:w="2431"/>
        <w:gridCol w:w="2504"/>
        <w:gridCol w:w="983"/>
        <w:gridCol w:w="1372"/>
      </w:tblGrid>
      <w:tr w:rsidR="002F27C8" w:rsidTr="00AE7FFB">
        <w:tc>
          <w:tcPr>
            <w:tcW w:w="1012" w:type="dxa"/>
            <w:vAlign w:val="center"/>
          </w:tcPr>
          <w:p w:rsidR="002F27C8" w:rsidRDefault="002F27C8" w:rsidP="00AE7FFB">
            <w:pPr>
              <w:jc w:val="center"/>
              <w:rPr>
                <w:rFonts w:ascii="宋体" w:hAnsi="宋体" w:cs="宋体"/>
                <w:szCs w:val="21"/>
              </w:rPr>
            </w:pPr>
            <w:r>
              <w:rPr>
                <w:rFonts w:ascii="宋体" w:hAnsi="宋体" w:cs="宋体" w:hint="eastAsia"/>
                <w:szCs w:val="21"/>
              </w:rPr>
              <w:t>招聘类别</w:t>
            </w: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岗位名称</w:t>
            </w:r>
          </w:p>
        </w:tc>
        <w:tc>
          <w:tcPr>
            <w:tcW w:w="855" w:type="dxa"/>
            <w:vAlign w:val="center"/>
          </w:tcPr>
          <w:p w:rsidR="002F27C8" w:rsidRDefault="002F27C8" w:rsidP="00AE7FFB">
            <w:pPr>
              <w:jc w:val="center"/>
              <w:rPr>
                <w:rFonts w:ascii="宋体" w:hAnsi="宋体" w:cs="宋体"/>
                <w:szCs w:val="21"/>
              </w:rPr>
            </w:pPr>
            <w:r>
              <w:rPr>
                <w:rFonts w:ascii="宋体" w:hAnsi="宋体" w:cs="宋体" w:hint="eastAsia"/>
                <w:szCs w:val="21"/>
              </w:rPr>
              <w:t>招聘</w:t>
            </w:r>
          </w:p>
          <w:p w:rsidR="002F27C8" w:rsidRDefault="002F27C8" w:rsidP="00AE7FFB">
            <w:pPr>
              <w:jc w:val="center"/>
            </w:pPr>
            <w:r>
              <w:rPr>
                <w:rFonts w:ascii="宋体" w:hAnsi="宋体" w:cs="宋体" w:hint="eastAsia"/>
                <w:szCs w:val="21"/>
              </w:rPr>
              <w:t>数量</w:t>
            </w:r>
          </w:p>
        </w:tc>
        <w:tc>
          <w:tcPr>
            <w:tcW w:w="1620" w:type="dxa"/>
            <w:vAlign w:val="center"/>
          </w:tcPr>
          <w:p w:rsidR="002F27C8" w:rsidRDefault="002F27C8" w:rsidP="00AE7FFB">
            <w:pPr>
              <w:jc w:val="center"/>
              <w:rPr>
                <w:rFonts w:ascii="宋体" w:hAnsi="宋体" w:cs="宋体"/>
                <w:szCs w:val="21"/>
              </w:rPr>
            </w:pPr>
            <w:r>
              <w:rPr>
                <w:rFonts w:ascii="宋体" w:hAnsi="宋体" w:cs="宋体" w:hint="eastAsia"/>
                <w:szCs w:val="21"/>
              </w:rPr>
              <w:t>派驻单位</w:t>
            </w:r>
          </w:p>
        </w:tc>
        <w:tc>
          <w:tcPr>
            <w:tcW w:w="2010" w:type="dxa"/>
            <w:vAlign w:val="center"/>
          </w:tcPr>
          <w:p w:rsidR="002F27C8" w:rsidRDefault="002F27C8" w:rsidP="00AE7FFB">
            <w:pPr>
              <w:jc w:val="center"/>
              <w:rPr>
                <w:rFonts w:ascii="宋体" w:hAnsi="宋体" w:cs="宋体"/>
                <w:szCs w:val="21"/>
              </w:rPr>
            </w:pPr>
            <w:r>
              <w:rPr>
                <w:rFonts w:ascii="宋体" w:hAnsi="宋体" w:cs="宋体" w:hint="eastAsia"/>
                <w:szCs w:val="21"/>
              </w:rPr>
              <w:t>年龄要求</w:t>
            </w: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岗位要求</w:t>
            </w:r>
          </w:p>
        </w:tc>
        <w:tc>
          <w:tcPr>
            <w:tcW w:w="2504" w:type="dxa"/>
            <w:vAlign w:val="center"/>
          </w:tcPr>
          <w:p w:rsidR="002F27C8" w:rsidRDefault="002F27C8" w:rsidP="00AE7FFB">
            <w:pPr>
              <w:jc w:val="center"/>
              <w:rPr>
                <w:rFonts w:ascii="宋体" w:hAnsi="宋体" w:cs="宋体"/>
                <w:szCs w:val="21"/>
              </w:rPr>
            </w:pPr>
            <w:r>
              <w:rPr>
                <w:rFonts w:ascii="宋体" w:hAnsi="宋体" w:cs="宋体" w:hint="eastAsia"/>
                <w:szCs w:val="21"/>
              </w:rPr>
              <w:t>学历要求</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年待遇</w:t>
            </w:r>
          </w:p>
          <w:p w:rsidR="002F27C8" w:rsidRDefault="002F27C8" w:rsidP="00AE7FFB">
            <w:pPr>
              <w:jc w:val="center"/>
              <w:rPr>
                <w:rFonts w:ascii="宋体" w:hAnsi="宋体" w:cs="宋体"/>
                <w:szCs w:val="21"/>
              </w:rPr>
            </w:pPr>
            <w:r>
              <w:rPr>
                <w:rFonts w:ascii="宋体" w:hAnsi="宋体" w:cs="宋体" w:hint="eastAsia"/>
                <w:szCs w:val="21"/>
              </w:rPr>
              <w:t>水平</w:t>
            </w:r>
          </w:p>
        </w:tc>
        <w:tc>
          <w:tcPr>
            <w:tcW w:w="1372" w:type="dxa"/>
            <w:vAlign w:val="center"/>
          </w:tcPr>
          <w:p w:rsidR="002F27C8" w:rsidRDefault="002F27C8" w:rsidP="00AE7FFB">
            <w:pPr>
              <w:jc w:val="center"/>
              <w:rPr>
                <w:rFonts w:ascii="宋体" w:hAnsi="宋体" w:cs="宋体"/>
                <w:szCs w:val="21"/>
              </w:rPr>
            </w:pPr>
            <w:r>
              <w:rPr>
                <w:rFonts w:ascii="宋体" w:hAnsi="宋体" w:cs="宋体" w:hint="eastAsia"/>
                <w:szCs w:val="21"/>
              </w:rPr>
              <w:t>其他要求</w:t>
            </w:r>
          </w:p>
        </w:tc>
      </w:tr>
      <w:tr w:rsidR="002F27C8" w:rsidTr="00AE7FFB">
        <w:tc>
          <w:tcPr>
            <w:tcW w:w="1012" w:type="dxa"/>
            <w:vMerge w:val="restart"/>
            <w:vAlign w:val="center"/>
          </w:tcPr>
          <w:p w:rsidR="002F27C8" w:rsidRDefault="002F27C8" w:rsidP="00AE7FFB">
            <w:pPr>
              <w:jc w:val="center"/>
              <w:rPr>
                <w:rFonts w:ascii="宋体" w:hAnsi="宋体" w:cs="宋体"/>
                <w:szCs w:val="21"/>
              </w:rPr>
            </w:pPr>
            <w:r>
              <w:rPr>
                <w:rFonts w:ascii="宋体" w:hAnsi="宋体" w:cs="宋体" w:hint="eastAsia"/>
                <w:szCs w:val="21"/>
              </w:rPr>
              <w:t>配网作业类</w:t>
            </w: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配网运维及抢修</w:t>
            </w:r>
          </w:p>
        </w:tc>
        <w:tc>
          <w:tcPr>
            <w:tcW w:w="855" w:type="dxa"/>
            <w:vAlign w:val="center"/>
          </w:tcPr>
          <w:p w:rsidR="002F27C8" w:rsidRDefault="002F27C8" w:rsidP="00AE7FFB">
            <w:pPr>
              <w:jc w:val="center"/>
            </w:pPr>
            <w:r>
              <w:rPr>
                <w:rFonts w:ascii="宋体" w:hAnsi="宋体" w:cs="宋体" w:hint="eastAsia"/>
                <w:szCs w:val="21"/>
              </w:rPr>
              <w:t>10</w:t>
            </w:r>
          </w:p>
        </w:tc>
        <w:tc>
          <w:tcPr>
            <w:tcW w:w="1620" w:type="dxa"/>
            <w:vAlign w:val="center"/>
          </w:tcPr>
          <w:p w:rsidR="002F27C8" w:rsidRDefault="002F27C8" w:rsidP="00AE7FFB">
            <w:pPr>
              <w:jc w:val="center"/>
              <w:rPr>
                <w:rFonts w:ascii="宋体" w:hAnsi="宋体" w:cs="宋体"/>
                <w:szCs w:val="21"/>
              </w:rPr>
            </w:pPr>
            <w:r>
              <w:rPr>
                <w:rFonts w:ascii="宋体" w:hAnsi="宋体" w:cs="宋体" w:hint="eastAsia"/>
                <w:szCs w:val="21"/>
              </w:rPr>
              <w:t>配电工程分公司（驻供电服务中心工作）</w:t>
            </w:r>
          </w:p>
        </w:tc>
        <w:tc>
          <w:tcPr>
            <w:tcW w:w="2010" w:type="dxa"/>
            <w:vAlign w:val="center"/>
          </w:tcPr>
          <w:p w:rsidR="002F27C8" w:rsidRDefault="002F27C8" w:rsidP="00AE7FFB">
            <w:pPr>
              <w:jc w:val="left"/>
              <w:rPr>
                <w:rFonts w:ascii="宋体" w:hAnsi="宋体" w:cs="宋体"/>
                <w:szCs w:val="21"/>
              </w:rPr>
            </w:pPr>
            <w:r>
              <w:rPr>
                <w:rFonts w:ascii="宋体" w:hAnsi="宋体" w:cs="宋体" w:hint="eastAsia"/>
                <w:szCs w:val="21"/>
              </w:rPr>
              <w:t>28周岁以下</w:t>
            </w: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熟悉电力电气知识，具备配网自动化运维及配网抢修业务技能。</w:t>
            </w:r>
          </w:p>
        </w:tc>
        <w:tc>
          <w:tcPr>
            <w:tcW w:w="2504" w:type="dxa"/>
            <w:vAlign w:val="center"/>
          </w:tcPr>
          <w:p w:rsidR="002F27C8" w:rsidRDefault="002F27C8" w:rsidP="00AE7FFB">
            <w:pPr>
              <w:jc w:val="left"/>
              <w:rPr>
                <w:rFonts w:ascii="宋体" w:hAnsi="宋体" w:cs="宋体"/>
                <w:szCs w:val="21"/>
              </w:rPr>
            </w:pPr>
            <w:r>
              <w:rPr>
                <w:rFonts w:ascii="宋体" w:hAnsi="宋体" w:cs="宋体" w:hint="eastAsia"/>
                <w:szCs w:val="21"/>
              </w:rPr>
              <w:t>全日制大学专科电力工程相关专业及以上毕业学历</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约6-10万元</w:t>
            </w:r>
          </w:p>
        </w:tc>
        <w:tc>
          <w:tcPr>
            <w:tcW w:w="1372" w:type="dxa"/>
            <w:vMerge w:val="restart"/>
            <w:vAlign w:val="center"/>
          </w:tcPr>
          <w:p w:rsidR="002F27C8" w:rsidRDefault="002F27C8" w:rsidP="00AE7FFB">
            <w:pPr>
              <w:jc w:val="left"/>
              <w:rPr>
                <w:rFonts w:ascii="宋体" w:hAnsi="宋体" w:cs="宋体"/>
                <w:szCs w:val="21"/>
              </w:rPr>
            </w:pPr>
            <w:r>
              <w:rPr>
                <w:rFonts w:ascii="宋体" w:hAnsi="宋体" w:cs="宋体" w:hint="eastAsia"/>
                <w:szCs w:val="21"/>
              </w:rPr>
              <w:t>遵纪守法，诚实守信，有较强的责任意识、良好的职业道德和团队精神，未受到过执法部门行政或刑事处分。身体健康，经过体检无重大疾病或残疾，能胜任招聘岗位要求。</w:t>
            </w:r>
          </w:p>
        </w:tc>
      </w:tr>
      <w:tr w:rsidR="002F27C8" w:rsidTr="00AE7FFB">
        <w:tc>
          <w:tcPr>
            <w:tcW w:w="1012" w:type="dxa"/>
            <w:vMerge/>
            <w:vAlign w:val="center"/>
          </w:tcPr>
          <w:p w:rsidR="002F27C8" w:rsidRDefault="002F27C8" w:rsidP="00AE7FFB">
            <w:pPr>
              <w:jc w:val="center"/>
              <w:rPr>
                <w:rFonts w:ascii="宋体" w:hAnsi="宋体" w:cs="宋体"/>
                <w:szCs w:val="21"/>
              </w:rPr>
            </w:pP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工程项目管理</w:t>
            </w:r>
          </w:p>
        </w:tc>
        <w:tc>
          <w:tcPr>
            <w:tcW w:w="855" w:type="dxa"/>
            <w:vAlign w:val="center"/>
          </w:tcPr>
          <w:p w:rsidR="002F27C8" w:rsidRDefault="002F27C8" w:rsidP="00AE7FFB">
            <w:pPr>
              <w:jc w:val="center"/>
            </w:pPr>
            <w:r>
              <w:rPr>
                <w:rFonts w:ascii="宋体" w:hAnsi="宋体" w:cs="宋体" w:hint="eastAsia"/>
                <w:szCs w:val="21"/>
              </w:rPr>
              <w:t>5</w:t>
            </w:r>
          </w:p>
        </w:tc>
        <w:tc>
          <w:tcPr>
            <w:tcW w:w="1620" w:type="dxa"/>
            <w:vMerge w:val="restart"/>
            <w:vAlign w:val="center"/>
          </w:tcPr>
          <w:p w:rsidR="002F27C8" w:rsidRDefault="002F27C8" w:rsidP="00AE7FFB">
            <w:pPr>
              <w:jc w:val="center"/>
              <w:rPr>
                <w:rFonts w:ascii="宋体" w:hAnsi="宋体" w:cs="宋体"/>
                <w:szCs w:val="21"/>
              </w:rPr>
            </w:pPr>
            <w:r>
              <w:rPr>
                <w:rFonts w:ascii="宋体" w:hAnsi="宋体" w:cs="宋体" w:hint="eastAsia"/>
                <w:szCs w:val="21"/>
              </w:rPr>
              <w:t>配电工程</w:t>
            </w:r>
          </w:p>
          <w:p w:rsidR="002F27C8" w:rsidRDefault="002F27C8" w:rsidP="00AE7FFB">
            <w:pPr>
              <w:jc w:val="center"/>
              <w:rPr>
                <w:rFonts w:ascii="宋体" w:hAnsi="宋体" w:cs="宋体"/>
                <w:szCs w:val="21"/>
              </w:rPr>
            </w:pPr>
            <w:r>
              <w:rPr>
                <w:rFonts w:ascii="宋体" w:hAnsi="宋体" w:cs="宋体" w:hint="eastAsia"/>
                <w:szCs w:val="21"/>
              </w:rPr>
              <w:t>分公司</w:t>
            </w:r>
          </w:p>
        </w:tc>
        <w:tc>
          <w:tcPr>
            <w:tcW w:w="2010" w:type="dxa"/>
            <w:vMerge w:val="restart"/>
            <w:vAlign w:val="center"/>
          </w:tcPr>
          <w:p w:rsidR="002F27C8" w:rsidRDefault="002F27C8" w:rsidP="00AE7FFB">
            <w:pPr>
              <w:jc w:val="left"/>
              <w:rPr>
                <w:rFonts w:ascii="宋体" w:hAnsi="宋体" w:cs="宋体"/>
                <w:szCs w:val="21"/>
              </w:rPr>
            </w:pPr>
            <w:r>
              <w:rPr>
                <w:rFonts w:ascii="宋体" w:hAnsi="宋体" w:cs="宋体" w:hint="eastAsia"/>
                <w:szCs w:val="21"/>
              </w:rPr>
              <w:t>28周岁以下，具有企业需要的国家级注册类资质证书和住建部核发的职业资格证书的放宽至30周岁</w:t>
            </w: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掌握电力工程管理基本知识，对CAD制图、office应用较为熟练。</w:t>
            </w:r>
          </w:p>
        </w:tc>
        <w:tc>
          <w:tcPr>
            <w:tcW w:w="2504" w:type="dxa"/>
            <w:vAlign w:val="center"/>
          </w:tcPr>
          <w:p w:rsidR="002F27C8" w:rsidRDefault="002F27C8" w:rsidP="00AE7FFB">
            <w:pPr>
              <w:jc w:val="left"/>
              <w:rPr>
                <w:rFonts w:ascii="宋体" w:hAnsi="宋体" w:cs="宋体"/>
                <w:szCs w:val="21"/>
              </w:rPr>
            </w:pPr>
            <w:r>
              <w:rPr>
                <w:rFonts w:ascii="宋体" w:hAnsi="宋体" w:cs="宋体" w:hint="eastAsia"/>
                <w:szCs w:val="21"/>
              </w:rPr>
              <w:t>全日制大学专科电力工程相关专业及以上毕业学历</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约8-12万元</w:t>
            </w:r>
          </w:p>
        </w:tc>
        <w:tc>
          <w:tcPr>
            <w:tcW w:w="1372" w:type="dxa"/>
            <w:vMerge/>
            <w:vAlign w:val="center"/>
          </w:tcPr>
          <w:p w:rsidR="002F27C8" w:rsidRDefault="002F27C8" w:rsidP="00AE7FFB">
            <w:pPr>
              <w:jc w:val="left"/>
              <w:rPr>
                <w:rFonts w:ascii="宋体" w:hAnsi="宋体" w:cs="宋体"/>
                <w:szCs w:val="21"/>
              </w:rPr>
            </w:pPr>
          </w:p>
        </w:tc>
      </w:tr>
      <w:tr w:rsidR="002F27C8" w:rsidTr="00AE7FFB">
        <w:tc>
          <w:tcPr>
            <w:tcW w:w="1012" w:type="dxa"/>
            <w:vMerge/>
            <w:vAlign w:val="center"/>
          </w:tcPr>
          <w:p w:rsidR="002F27C8" w:rsidRDefault="002F27C8" w:rsidP="00AE7FFB">
            <w:pPr>
              <w:jc w:val="center"/>
              <w:rPr>
                <w:rFonts w:ascii="宋体" w:hAnsi="宋体" w:cs="宋体"/>
                <w:szCs w:val="21"/>
              </w:rPr>
            </w:pP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工程施工</w:t>
            </w:r>
          </w:p>
        </w:tc>
        <w:tc>
          <w:tcPr>
            <w:tcW w:w="855" w:type="dxa"/>
            <w:vAlign w:val="center"/>
          </w:tcPr>
          <w:p w:rsidR="002F27C8" w:rsidRDefault="002F27C8" w:rsidP="00AE7FFB">
            <w:pPr>
              <w:jc w:val="center"/>
            </w:pPr>
            <w:r>
              <w:rPr>
                <w:rFonts w:ascii="宋体" w:hAnsi="宋体" w:cs="宋体" w:hint="eastAsia"/>
                <w:szCs w:val="21"/>
              </w:rPr>
              <w:t>5</w:t>
            </w:r>
          </w:p>
        </w:tc>
        <w:tc>
          <w:tcPr>
            <w:tcW w:w="1620" w:type="dxa"/>
            <w:vMerge/>
            <w:vAlign w:val="center"/>
          </w:tcPr>
          <w:p w:rsidR="002F27C8" w:rsidRDefault="002F27C8" w:rsidP="00AE7FFB">
            <w:pPr>
              <w:jc w:val="center"/>
              <w:rPr>
                <w:rFonts w:ascii="宋体" w:hAnsi="宋体" w:cs="宋体"/>
                <w:szCs w:val="21"/>
              </w:rPr>
            </w:pPr>
          </w:p>
        </w:tc>
        <w:tc>
          <w:tcPr>
            <w:tcW w:w="2010" w:type="dxa"/>
            <w:vMerge/>
            <w:vAlign w:val="center"/>
          </w:tcPr>
          <w:p w:rsidR="002F27C8" w:rsidRDefault="002F27C8" w:rsidP="00AE7FFB">
            <w:pPr>
              <w:jc w:val="left"/>
              <w:rPr>
                <w:rFonts w:ascii="宋体" w:hAnsi="宋体" w:cs="宋体"/>
                <w:szCs w:val="21"/>
              </w:rPr>
            </w:pP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掌握电力电气知识</w:t>
            </w:r>
          </w:p>
        </w:tc>
        <w:tc>
          <w:tcPr>
            <w:tcW w:w="2504" w:type="dxa"/>
            <w:vAlign w:val="center"/>
          </w:tcPr>
          <w:p w:rsidR="002F27C8" w:rsidRDefault="002F27C8" w:rsidP="00AE7FFB">
            <w:pPr>
              <w:jc w:val="left"/>
              <w:rPr>
                <w:rFonts w:ascii="宋体" w:hAnsi="宋体" w:cs="宋体"/>
                <w:szCs w:val="21"/>
              </w:rPr>
            </w:pPr>
            <w:r>
              <w:rPr>
                <w:rFonts w:ascii="宋体" w:hAnsi="宋体" w:cs="宋体" w:hint="eastAsia"/>
                <w:szCs w:val="21"/>
              </w:rPr>
              <w:t>全日制大学专科电力工程相关专业及以上毕业学历</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约6-10万元</w:t>
            </w:r>
          </w:p>
        </w:tc>
        <w:tc>
          <w:tcPr>
            <w:tcW w:w="1372" w:type="dxa"/>
            <w:vMerge/>
            <w:vAlign w:val="center"/>
          </w:tcPr>
          <w:p w:rsidR="002F27C8" w:rsidRDefault="002F27C8" w:rsidP="00AE7FFB">
            <w:pPr>
              <w:jc w:val="center"/>
              <w:rPr>
                <w:rFonts w:ascii="宋体" w:hAnsi="宋体" w:cs="宋体"/>
                <w:szCs w:val="21"/>
              </w:rPr>
            </w:pPr>
          </w:p>
        </w:tc>
      </w:tr>
      <w:tr w:rsidR="002F27C8" w:rsidTr="00AE7FFB">
        <w:tc>
          <w:tcPr>
            <w:tcW w:w="1012" w:type="dxa"/>
            <w:vMerge w:val="restart"/>
            <w:vAlign w:val="center"/>
          </w:tcPr>
          <w:p w:rsidR="002F27C8" w:rsidRDefault="002F27C8" w:rsidP="00AE7FFB">
            <w:pPr>
              <w:jc w:val="center"/>
              <w:rPr>
                <w:rFonts w:ascii="宋体" w:hAnsi="宋体" w:cs="宋体"/>
                <w:szCs w:val="21"/>
              </w:rPr>
            </w:pPr>
            <w:r>
              <w:rPr>
                <w:rFonts w:ascii="宋体" w:hAnsi="宋体" w:cs="宋体" w:hint="eastAsia"/>
                <w:szCs w:val="21"/>
              </w:rPr>
              <w:t>财务资料类</w:t>
            </w: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工程资料管理</w:t>
            </w:r>
          </w:p>
        </w:tc>
        <w:tc>
          <w:tcPr>
            <w:tcW w:w="855" w:type="dxa"/>
            <w:vAlign w:val="center"/>
          </w:tcPr>
          <w:p w:rsidR="002F27C8" w:rsidRDefault="002F27C8" w:rsidP="00AE7FFB">
            <w:pPr>
              <w:jc w:val="center"/>
            </w:pPr>
            <w:r>
              <w:rPr>
                <w:rFonts w:ascii="宋体" w:hAnsi="宋体" w:cs="宋体" w:hint="eastAsia"/>
                <w:szCs w:val="21"/>
              </w:rPr>
              <w:t>1</w:t>
            </w:r>
          </w:p>
        </w:tc>
        <w:tc>
          <w:tcPr>
            <w:tcW w:w="1620" w:type="dxa"/>
            <w:vMerge/>
            <w:vAlign w:val="center"/>
          </w:tcPr>
          <w:p w:rsidR="002F27C8" w:rsidRDefault="002F27C8" w:rsidP="00AE7FFB">
            <w:pPr>
              <w:jc w:val="center"/>
              <w:rPr>
                <w:rFonts w:ascii="宋体" w:hAnsi="宋体" w:cs="宋体"/>
                <w:szCs w:val="21"/>
              </w:rPr>
            </w:pPr>
          </w:p>
        </w:tc>
        <w:tc>
          <w:tcPr>
            <w:tcW w:w="2010" w:type="dxa"/>
            <w:vMerge/>
            <w:vAlign w:val="center"/>
          </w:tcPr>
          <w:p w:rsidR="002F27C8" w:rsidRDefault="002F27C8" w:rsidP="00AE7FFB">
            <w:pPr>
              <w:jc w:val="left"/>
              <w:rPr>
                <w:rFonts w:ascii="宋体" w:hAnsi="宋体" w:cs="宋体"/>
                <w:szCs w:val="21"/>
              </w:rPr>
            </w:pP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对CAD制图、office应用较为熟练、掌握档案管理基本知识</w:t>
            </w:r>
          </w:p>
        </w:tc>
        <w:tc>
          <w:tcPr>
            <w:tcW w:w="2504" w:type="dxa"/>
            <w:vAlign w:val="center"/>
          </w:tcPr>
          <w:p w:rsidR="002F27C8" w:rsidRDefault="002F27C8" w:rsidP="00AE7FFB">
            <w:pPr>
              <w:jc w:val="left"/>
              <w:rPr>
                <w:rFonts w:ascii="宋体" w:hAnsi="宋体" w:cs="宋体"/>
                <w:szCs w:val="21"/>
              </w:rPr>
            </w:pPr>
            <w:r>
              <w:rPr>
                <w:rFonts w:ascii="宋体" w:hAnsi="宋体" w:cs="宋体" w:hint="eastAsia"/>
                <w:szCs w:val="21"/>
              </w:rPr>
              <w:t>全日制大学专科及以上毕业学历</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约5-7万元</w:t>
            </w:r>
          </w:p>
        </w:tc>
        <w:tc>
          <w:tcPr>
            <w:tcW w:w="1372" w:type="dxa"/>
            <w:vMerge/>
            <w:vAlign w:val="center"/>
          </w:tcPr>
          <w:p w:rsidR="002F27C8" w:rsidRDefault="002F27C8" w:rsidP="00AE7FFB">
            <w:pPr>
              <w:jc w:val="center"/>
              <w:rPr>
                <w:rFonts w:ascii="宋体" w:hAnsi="宋体" w:cs="宋体"/>
                <w:szCs w:val="21"/>
              </w:rPr>
            </w:pPr>
          </w:p>
        </w:tc>
      </w:tr>
      <w:tr w:rsidR="002F27C8" w:rsidTr="00AE7FFB">
        <w:tc>
          <w:tcPr>
            <w:tcW w:w="1012" w:type="dxa"/>
            <w:vMerge/>
            <w:vAlign w:val="center"/>
          </w:tcPr>
          <w:p w:rsidR="002F27C8" w:rsidRDefault="002F27C8" w:rsidP="00AE7FFB">
            <w:pPr>
              <w:jc w:val="center"/>
              <w:rPr>
                <w:rFonts w:ascii="宋体" w:hAnsi="宋体" w:cs="宋体"/>
                <w:szCs w:val="21"/>
              </w:rPr>
            </w:pP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财务</w:t>
            </w:r>
          </w:p>
        </w:tc>
        <w:tc>
          <w:tcPr>
            <w:tcW w:w="855" w:type="dxa"/>
            <w:vAlign w:val="center"/>
          </w:tcPr>
          <w:p w:rsidR="002F27C8" w:rsidRDefault="002F27C8" w:rsidP="00AE7FFB">
            <w:pPr>
              <w:jc w:val="center"/>
            </w:pPr>
            <w:r>
              <w:rPr>
                <w:rFonts w:ascii="宋体" w:hAnsi="宋体" w:cs="宋体" w:hint="eastAsia"/>
                <w:szCs w:val="21"/>
              </w:rPr>
              <w:t>1</w:t>
            </w:r>
          </w:p>
        </w:tc>
        <w:tc>
          <w:tcPr>
            <w:tcW w:w="1620" w:type="dxa"/>
            <w:vMerge/>
            <w:vAlign w:val="center"/>
          </w:tcPr>
          <w:p w:rsidR="002F27C8" w:rsidRDefault="002F27C8" w:rsidP="00AE7FFB">
            <w:pPr>
              <w:jc w:val="center"/>
              <w:rPr>
                <w:rFonts w:ascii="宋体" w:hAnsi="宋体" w:cs="宋体"/>
                <w:szCs w:val="21"/>
              </w:rPr>
            </w:pPr>
          </w:p>
        </w:tc>
        <w:tc>
          <w:tcPr>
            <w:tcW w:w="2010" w:type="dxa"/>
            <w:vAlign w:val="center"/>
          </w:tcPr>
          <w:p w:rsidR="002F27C8" w:rsidRDefault="002F27C8" w:rsidP="00AE7FFB">
            <w:pPr>
              <w:jc w:val="left"/>
              <w:rPr>
                <w:rFonts w:ascii="宋体" w:hAnsi="宋体" w:cs="宋体"/>
                <w:szCs w:val="21"/>
              </w:rPr>
            </w:pPr>
            <w:r>
              <w:rPr>
                <w:rFonts w:ascii="宋体" w:hAnsi="宋体" w:cs="宋体" w:hint="eastAsia"/>
                <w:szCs w:val="21"/>
              </w:rPr>
              <w:t>28周岁以下，有会计师专业技术资格的放宽至30周岁</w:t>
            </w: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掌握财务基础知识</w:t>
            </w:r>
          </w:p>
        </w:tc>
        <w:tc>
          <w:tcPr>
            <w:tcW w:w="2504" w:type="dxa"/>
            <w:vAlign w:val="center"/>
          </w:tcPr>
          <w:p w:rsidR="002F27C8" w:rsidRDefault="002F27C8" w:rsidP="00AE7FFB">
            <w:pPr>
              <w:jc w:val="left"/>
              <w:rPr>
                <w:rFonts w:ascii="宋体" w:hAnsi="宋体" w:cs="宋体"/>
                <w:szCs w:val="21"/>
              </w:rPr>
            </w:pPr>
            <w:r>
              <w:rPr>
                <w:rFonts w:ascii="宋体" w:hAnsi="宋体" w:cs="宋体" w:hint="eastAsia"/>
                <w:szCs w:val="21"/>
              </w:rPr>
              <w:t>全日制大学专科财务相关专业及以上毕业学历</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约5-7万元</w:t>
            </w:r>
          </w:p>
        </w:tc>
        <w:tc>
          <w:tcPr>
            <w:tcW w:w="1372" w:type="dxa"/>
            <w:vMerge/>
            <w:vAlign w:val="center"/>
          </w:tcPr>
          <w:p w:rsidR="002F27C8" w:rsidRDefault="002F27C8" w:rsidP="00AE7FFB">
            <w:pPr>
              <w:jc w:val="center"/>
              <w:rPr>
                <w:rFonts w:ascii="宋体" w:hAnsi="宋体" w:cs="宋体"/>
                <w:szCs w:val="21"/>
              </w:rPr>
            </w:pPr>
          </w:p>
        </w:tc>
      </w:tr>
      <w:tr w:rsidR="002F27C8" w:rsidTr="00AE7FFB">
        <w:tc>
          <w:tcPr>
            <w:tcW w:w="1012" w:type="dxa"/>
            <w:vAlign w:val="center"/>
          </w:tcPr>
          <w:p w:rsidR="002F27C8" w:rsidRDefault="002F27C8" w:rsidP="00AE7FFB">
            <w:pPr>
              <w:jc w:val="center"/>
              <w:rPr>
                <w:rFonts w:ascii="宋体" w:hAnsi="宋体" w:cs="宋体"/>
                <w:szCs w:val="21"/>
              </w:rPr>
            </w:pPr>
            <w:r>
              <w:rPr>
                <w:rFonts w:ascii="宋体" w:hAnsi="宋体" w:cs="宋体" w:hint="eastAsia"/>
                <w:szCs w:val="21"/>
              </w:rPr>
              <w:t>电力设计类</w:t>
            </w:r>
          </w:p>
        </w:tc>
        <w:tc>
          <w:tcPr>
            <w:tcW w:w="1455" w:type="dxa"/>
            <w:vAlign w:val="center"/>
          </w:tcPr>
          <w:p w:rsidR="002F27C8" w:rsidRDefault="002F27C8" w:rsidP="00AE7FFB">
            <w:pPr>
              <w:jc w:val="center"/>
              <w:rPr>
                <w:rFonts w:ascii="宋体" w:hAnsi="宋体" w:cs="宋体"/>
                <w:szCs w:val="21"/>
              </w:rPr>
            </w:pPr>
            <w:r>
              <w:rPr>
                <w:rFonts w:ascii="宋体" w:hAnsi="宋体" w:cs="宋体" w:hint="eastAsia"/>
                <w:szCs w:val="21"/>
              </w:rPr>
              <w:t>电力工程设计</w:t>
            </w:r>
          </w:p>
        </w:tc>
        <w:tc>
          <w:tcPr>
            <w:tcW w:w="855" w:type="dxa"/>
            <w:vAlign w:val="center"/>
          </w:tcPr>
          <w:p w:rsidR="002F27C8" w:rsidRDefault="002F27C8" w:rsidP="00AE7FFB">
            <w:pPr>
              <w:jc w:val="center"/>
            </w:pPr>
            <w:r>
              <w:rPr>
                <w:rFonts w:ascii="宋体" w:hAnsi="宋体" w:cs="宋体" w:hint="eastAsia"/>
                <w:szCs w:val="21"/>
              </w:rPr>
              <w:t>5</w:t>
            </w:r>
          </w:p>
        </w:tc>
        <w:tc>
          <w:tcPr>
            <w:tcW w:w="1620" w:type="dxa"/>
            <w:vAlign w:val="center"/>
          </w:tcPr>
          <w:p w:rsidR="002F27C8" w:rsidRDefault="002F27C8" w:rsidP="00AE7FFB">
            <w:pPr>
              <w:jc w:val="center"/>
              <w:rPr>
                <w:rFonts w:ascii="宋体" w:hAnsi="宋体" w:cs="宋体"/>
                <w:szCs w:val="21"/>
              </w:rPr>
            </w:pPr>
            <w:r>
              <w:rPr>
                <w:rFonts w:ascii="宋体" w:hAnsi="宋体" w:cs="宋体" w:hint="eastAsia"/>
                <w:szCs w:val="21"/>
              </w:rPr>
              <w:t>设计院</w:t>
            </w:r>
          </w:p>
        </w:tc>
        <w:tc>
          <w:tcPr>
            <w:tcW w:w="2010" w:type="dxa"/>
            <w:vAlign w:val="center"/>
          </w:tcPr>
          <w:p w:rsidR="002F27C8" w:rsidRDefault="002F27C8" w:rsidP="00AE7FFB">
            <w:pPr>
              <w:jc w:val="left"/>
              <w:rPr>
                <w:rFonts w:ascii="宋体" w:hAnsi="宋体" w:cs="宋体"/>
                <w:szCs w:val="21"/>
              </w:rPr>
            </w:pPr>
            <w:r>
              <w:rPr>
                <w:rFonts w:ascii="宋体" w:hAnsi="宋体" w:cs="宋体" w:hint="eastAsia"/>
                <w:szCs w:val="21"/>
              </w:rPr>
              <w:t>35周岁以下</w:t>
            </w:r>
          </w:p>
        </w:tc>
        <w:tc>
          <w:tcPr>
            <w:tcW w:w="2431" w:type="dxa"/>
            <w:vAlign w:val="center"/>
          </w:tcPr>
          <w:p w:rsidR="002F27C8" w:rsidRDefault="002F27C8" w:rsidP="00AE7FFB">
            <w:pPr>
              <w:jc w:val="center"/>
              <w:rPr>
                <w:rFonts w:ascii="宋体" w:hAnsi="宋体" w:cs="宋体"/>
                <w:szCs w:val="21"/>
              </w:rPr>
            </w:pPr>
            <w:r>
              <w:rPr>
                <w:rFonts w:ascii="宋体" w:hAnsi="宋体" w:cs="宋体" w:hint="eastAsia"/>
                <w:szCs w:val="21"/>
              </w:rPr>
              <w:t>掌握电气知识，对CAD制图、office应用较为熟练，有较好的文字组织和语言表达能力。</w:t>
            </w:r>
          </w:p>
        </w:tc>
        <w:tc>
          <w:tcPr>
            <w:tcW w:w="2504" w:type="dxa"/>
            <w:vAlign w:val="center"/>
          </w:tcPr>
          <w:p w:rsidR="002F27C8" w:rsidRDefault="002F27C8" w:rsidP="00AE7FFB">
            <w:pPr>
              <w:jc w:val="left"/>
              <w:rPr>
                <w:rFonts w:ascii="宋体" w:hAnsi="宋体" w:cs="宋体"/>
                <w:szCs w:val="21"/>
              </w:rPr>
            </w:pPr>
            <w:r>
              <w:rPr>
                <w:rFonts w:ascii="宋体" w:hAnsi="宋体" w:cs="宋体" w:hint="eastAsia"/>
                <w:szCs w:val="21"/>
              </w:rPr>
              <w:t>全日制大学专科电工类专业，或全日制大学本科（理工类专业）以上毕业学历。</w:t>
            </w:r>
          </w:p>
        </w:tc>
        <w:tc>
          <w:tcPr>
            <w:tcW w:w="983" w:type="dxa"/>
            <w:vAlign w:val="center"/>
          </w:tcPr>
          <w:p w:rsidR="002F27C8" w:rsidRDefault="002F27C8" w:rsidP="00AE7FFB">
            <w:pPr>
              <w:jc w:val="center"/>
              <w:rPr>
                <w:rFonts w:ascii="宋体" w:hAnsi="宋体" w:cs="宋体"/>
                <w:szCs w:val="21"/>
              </w:rPr>
            </w:pPr>
            <w:r>
              <w:rPr>
                <w:rFonts w:ascii="宋体" w:hAnsi="宋体" w:cs="宋体" w:hint="eastAsia"/>
                <w:szCs w:val="21"/>
              </w:rPr>
              <w:t>约8-12万元</w:t>
            </w:r>
          </w:p>
        </w:tc>
        <w:tc>
          <w:tcPr>
            <w:tcW w:w="1372" w:type="dxa"/>
            <w:vMerge/>
            <w:vAlign w:val="center"/>
          </w:tcPr>
          <w:p w:rsidR="002F27C8" w:rsidRDefault="002F27C8" w:rsidP="00AE7FFB">
            <w:pPr>
              <w:jc w:val="center"/>
              <w:rPr>
                <w:rFonts w:ascii="宋体" w:hAnsi="宋体" w:cs="宋体"/>
                <w:szCs w:val="21"/>
              </w:rPr>
            </w:pPr>
          </w:p>
        </w:tc>
      </w:tr>
    </w:tbl>
    <w:p w:rsidR="002F27C8" w:rsidRDefault="002F27C8" w:rsidP="002F27C8">
      <w:pPr>
        <w:rPr>
          <w:rFonts w:ascii="宋体" w:hAnsi="宋体" w:cs="宋体"/>
          <w:sz w:val="24"/>
          <w:szCs w:val="24"/>
        </w:rPr>
      </w:pPr>
      <w:r>
        <w:rPr>
          <w:rFonts w:ascii="宋体" w:hAnsi="宋体" w:cs="宋体" w:hint="eastAsia"/>
          <w:sz w:val="24"/>
          <w:szCs w:val="24"/>
        </w:rPr>
        <w:t>1、年龄计算至报名截止日。</w:t>
      </w:r>
    </w:p>
    <w:p w:rsidR="002F27C8" w:rsidRDefault="002F27C8" w:rsidP="002F27C8">
      <w:pPr>
        <w:rPr>
          <w:rFonts w:ascii="宋体" w:hAnsi="宋体" w:cs="宋体"/>
          <w:sz w:val="24"/>
          <w:szCs w:val="24"/>
        </w:rPr>
      </w:pPr>
      <w:r>
        <w:rPr>
          <w:rFonts w:ascii="宋体" w:hAnsi="宋体" w:cs="宋体" w:hint="eastAsia"/>
          <w:sz w:val="24"/>
          <w:szCs w:val="24"/>
        </w:rPr>
        <w:t>2、年待遇水平为试用期结束后应发工资水平（不含福利待遇）。根据工作经验积累和业绩建立薪酬增长机制，“五险一金”按规定缴纳。</w:t>
      </w:r>
    </w:p>
    <w:p w:rsidR="002F27C8" w:rsidRDefault="002F27C8" w:rsidP="002F27C8">
      <w:pPr>
        <w:rPr>
          <w:rFonts w:ascii="仿宋" w:eastAsia="仿宋" w:hAnsi="仿宋"/>
          <w:sz w:val="32"/>
        </w:rPr>
      </w:pPr>
      <w:r>
        <w:rPr>
          <w:rFonts w:ascii="宋体" w:hAnsi="宋体" w:cs="宋体" w:hint="eastAsia"/>
          <w:sz w:val="24"/>
          <w:szCs w:val="24"/>
        </w:rPr>
        <w:t>3、电力工程相关专业参照附件3。</w:t>
      </w:r>
    </w:p>
    <w:p w:rsidR="00193091" w:rsidRDefault="00193091"/>
    <w:sectPr w:rsidR="00193091" w:rsidSect="001930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7C8"/>
    <w:rsid w:val="00142990"/>
    <w:rsid w:val="00193091"/>
    <w:rsid w:val="002F27C8"/>
    <w:rsid w:val="00751DCD"/>
    <w:rsid w:val="0076112C"/>
    <w:rsid w:val="009B0B48"/>
    <w:rsid w:val="00C71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C8"/>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7C8"/>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2018-09-25T07:06:00Z</dcterms:created>
  <dcterms:modified xsi:type="dcterms:W3CDTF">2018-09-25T07:06:00Z</dcterms:modified>
</cp:coreProperties>
</file>