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jc w:val="center"/>
        <w:tblCellMar>
          <w:left w:w="0" w:type="dxa"/>
          <w:right w:w="0" w:type="dxa"/>
        </w:tblCellMar>
        <w:tblLook w:val="04A0"/>
      </w:tblPr>
      <w:tblGrid>
        <w:gridCol w:w="1154"/>
        <w:gridCol w:w="704"/>
        <w:gridCol w:w="704"/>
        <w:gridCol w:w="390"/>
        <w:gridCol w:w="764"/>
        <w:gridCol w:w="2680"/>
        <w:gridCol w:w="704"/>
        <w:gridCol w:w="2365"/>
      </w:tblGrid>
      <w:tr w:rsidR="00DF108E" w:rsidRPr="00DF108E" w:rsidTr="00DF108E">
        <w:trPr>
          <w:jc w:val="center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招聘专业及学历（学位）要求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招聘范围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其它资格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条件</w:t>
            </w:r>
          </w:p>
        </w:tc>
      </w:tr>
      <w:tr w:rsidR="00DF108E" w:rsidRPr="00DF108E" w:rsidTr="00DF108E">
        <w:trPr>
          <w:trHeight w:val="675"/>
          <w:jc w:val="center"/>
        </w:trPr>
        <w:tc>
          <w:tcPr>
            <w:tcW w:w="11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宁波市市政公用工程安全质量监督站（宁波市轨道交通工程建设管理站）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综合事务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综合写作、内部管理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理科学与工程二级学科专业、建筑学一级学科中的建筑历史与理论、建筑设计及其理论、城市规划与设计、建筑技术科学二级学科专业(学校未设二级学科的，一级学科相同也可报考）；研究生学历且硕士及以上学位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面向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2、已取得学历学位的历届生，年龄35周岁以下。</w:t>
            </w:r>
          </w:p>
        </w:tc>
      </w:tr>
      <w:tr w:rsidR="00DF108E" w:rsidRPr="00DF108E" w:rsidTr="00DF108E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监督员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市政公用工程监督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电机与电器、电力系统及其自动化二级学科专业；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研究生学历且硕士及以上学位。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面向全国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DF108E" w:rsidRPr="00DF108E" w:rsidRDefault="00DF108E" w:rsidP="00DF10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F1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2、已取得学历学位的历届生，年龄35周岁以下。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F108E"/>
    <w:rsid w:val="00FB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0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2018-08-21T01:44:00Z</dcterms:modified>
</cp:coreProperties>
</file>