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E1" w:rsidRDefault="00620689">
      <w:pPr>
        <w:spacing w:line="360" w:lineRule="auto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湖州市乐民健康投资有限公司简介</w:t>
      </w:r>
    </w:p>
    <w:p w:rsidR="00C60FE1" w:rsidRDefault="00C60FE1">
      <w:pPr>
        <w:spacing w:line="360" w:lineRule="auto"/>
        <w:jc w:val="center"/>
        <w:rPr>
          <w:rFonts w:ascii="宋体" w:hAnsi="宋体"/>
          <w:bCs/>
          <w:sz w:val="36"/>
          <w:szCs w:val="36"/>
        </w:rPr>
      </w:pPr>
    </w:p>
    <w:p w:rsidR="00C60FE1" w:rsidRDefault="00620689">
      <w:pPr>
        <w:widowControl/>
        <w:ind w:firstLineChars="200" w:firstLine="600"/>
        <w:rPr>
          <w:rFonts w:ascii="仿宋" w:eastAsia="仿宋" w:hAnsi="仿宋" w:cs="仿宋"/>
          <w:b w:val="0"/>
          <w:bCs/>
          <w:kern w:val="0"/>
          <w:sz w:val="30"/>
          <w:szCs w:val="30"/>
          <w:lang/>
        </w:rPr>
      </w:pP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湖州市乐民健康投资有限公司为湖州市城市</w:t>
      </w:r>
      <w:r w:rsidR="009333D4"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投资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发展集团有限公司的全资一级子公司，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2017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年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8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月成立，注册资本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10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亿元。《湖州市人民政府关于深化公立医院管理体制改革的实施意见》（湖政函【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2017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】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35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号）文件明确，该公司同时代表政府履行公立医院出资人和举办者职责，负责市级公立医院的基本建设、设备设施及投融资，</w:t>
      </w:r>
      <w:bookmarkStart w:id="0" w:name="_GoBack"/>
      <w:bookmarkEnd w:id="0"/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该公司为浙北地区区域性大健康产业投资平台。</w:t>
      </w:r>
    </w:p>
    <w:p w:rsidR="00C60FE1" w:rsidRDefault="00620689">
      <w:pPr>
        <w:widowControl/>
        <w:ind w:firstLineChars="200" w:firstLine="600"/>
        <w:rPr>
          <w:rFonts w:ascii="仿宋" w:eastAsia="仿宋" w:hAnsi="仿宋" w:cs="仿宋"/>
          <w:b w:val="0"/>
          <w:bCs/>
          <w:kern w:val="0"/>
          <w:sz w:val="30"/>
          <w:szCs w:val="30"/>
          <w:lang/>
        </w:rPr>
      </w:pP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2018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年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月，根据市城市集团和市卫计局签署的战略合作框架协议，双方将在“深化体制机构改革、加快医疗卫生服务体系建设进程、落实公立医院举办主体职责、支持做大做强健康产业板块、开展合作办医项目试点建设”五个方面开展全面合作，由乐民公司承担具体工作。</w:t>
      </w:r>
    </w:p>
    <w:p w:rsidR="00C60FE1" w:rsidRDefault="00620689">
      <w:pPr>
        <w:widowControl/>
        <w:ind w:firstLineChars="200" w:firstLine="600"/>
        <w:rPr>
          <w:rFonts w:ascii="仿宋" w:eastAsia="仿宋" w:hAnsi="仿宋" w:cs="仿宋"/>
          <w:b w:val="0"/>
          <w:bCs/>
          <w:kern w:val="0"/>
          <w:sz w:val="30"/>
          <w:szCs w:val="30"/>
          <w:lang/>
        </w:rPr>
      </w:pP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乐民公司现已承担浙北医学中心、市第一医院改扩建、市中医院三家市级公立医院的投资和建设任务，总投资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35.88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亿元。同时积极发挥与公立医院优质资源合作的优势，大力发展社会办医产业。目前已启动浙北康复医疗中心、蜀山老年病医院、滨湖体检中心、滨湖医院等多个自营医养项目，建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设医疗床位规模超过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800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床，高档养老床位超过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1000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床。并与市中心医院、市第三医院等多家公立医院签署合作协议，不断满足社会对健康产业的需求。</w:t>
      </w:r>
    </w:p>
    <w:p w:rsidR="00C60FE1" w:rsidRDefault="00620689">
      <w:pPr>
        <w:widowControl/>
        <w:ind w:firstLineChars="200" w:firstLine="600"/>
        <w:rPr>
          <w:rFonts w:ascii="仿宋" w:eastAsia="仿宋" w:hAnsi="仿宋" w:cs="仿宋"/>
          <w:b w:val="0"/>
          <w:bCs/>
          <w:kern w:val="0"/>
          <w:sz w:val="30"/>
          <w:szCs w:val="30"/>
          <w:lang/>
        </w:rPr>
      </w:pP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公司将以“医、养、康、健”四个领域为核心，在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3-5</w:t>
      </w:r>
      <w:r>
        <w:rPr>
          <w:rFonts w:ascii="仿宋" w:eastAsia="仿宋" w:hAnsi="仿宋" w:cs="仿宋" w:hint="eastAsia"/>
          <w:b w:val="0"/>
          <w:bCs/>
          <w:kern w:val="0"/>
          <w:sz w:val="30"/>
          <w:szCs w:val="30"/>
          <w:lang/>
        </w:rPr>
        <w:t>年内将健康产业培育成城市集团发展的新引擎和新支柱，并按国资委要求完成医疗板块上市的战略目标。</w:t>
      </w:r>
    </w:p>
    <w:p w:rsidR="00C60FE1" w:rsidRDefault="00C60FE1">
      <w:pPr>
        <w:rPr>
          <w:rFonts w:ascii="仿宋" w:eastAsia="仿宋" w:hAnsi="仿宋" w:cs="仿宋"/>
          <w:b w:val="0"/>
          <w:bCs/>
          <w:sz w:val="30"/>
          <w:szCs w:val="30"/>
        </w:rPr>
      </w:pPr>
    </w:p>
    <w:sectPr w:rsidR="00C60FE1" w:rsidSect="00C60FE1">
      <w:pgSz w:w="11906" w:h="16838"/>
      <w:pgMar w:top="1327" w:right="1349" w:bottom="1213" w:left="134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89" w:rsidRDefault="00620689" w:rsidP="009333D4">
      <w:r>
        <w:separator/>
      </w:r>
    </w:p>
  </w:endnote>
  <w:endnote w:type="continuationSeparator" w:id="1">
    <w:p w:rsidR="00620689" w:rsidRDefault="00620689" w:rsidP="0093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89" w:rsidRDefault="00620689" w:rsidP="009333D4">
      <w:r>
        <w:separator/>
      </w:r>
    </w:p>
  </w:footnote>
  <w:footnote w:type="continuationSeparator" w:id="1">
    <w:p w:rsidR="00620689" w:rsidRDefault="00620689" w:rsidP="00933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FE6511"/>
    <w:rsid w:val="004D6C4A"/>
    <w:rsid w:val="00620689"/>
    <w:rsid w:val="009333D4"/>
    <w:rsid w:val="00C60FE1"/>
    <w:rsid w:val="018C525F"/>
    <w:rsid w:val="043070A0"/>
    <w:rsid w:val="0A42705A"/>
    <w:rsid w:val="0BB74DC4"/>
    <w:rsid w:val="0E3726DE"/>
    <w:rsid w:val="0E9E6F0A"/>
    <w:rsid w:val="18E72956"/>
    <w:rsid w:val="1C346A0C"/>
    <w:rsid w:val="1F330291"/>
    <w:rsid w:val="273A7B11"/>
    <w:rsid w:val="2AF15653"/>
    <w:rsid w:val="2B182F87"/>
    <w:rsid w:val="2F3440BF"/>
    <w:rsid w:val="2F4B0E6E"/>
    <w:rsid w:val="303266CF"/>
    <w:rsid w:val="37187DC5"/>
    <w:rsid w:val="394C4689"/>
    <w:rsid w:val="39697DCA"/>
    <w:rsid w:val="3C1B283C"/>
    <w:rsid w:val="3E3303AB"/>
    <w:rsid w:val="41663524"/>
    <w:rsid w:val="427475B1"/>
    <w:rsid w:val="45245FBD"/>
    <w:rsid w:val="48FD4629"/>
    <w:rsid w:val="490B5FFF"/>
    <w:rsid w:val="4CFE6511"/>
    <w:rsid w:val="50885C6A"/>
    <w:rsid w:val="50CB4E99"/>
    <w:rsid w:val="52195C2A"/>
    <w:rsid w:val="55941345"/>
    <w:rsid w:val="55A62C80"/>
    <w:rsid w:val="574F2081"/>
    <w:rsid w:val="57524D46"/>
    <w:rsid w:val="59FD7364"/>
    <w:rsid w:val="5C773CA7"/>
    <w:rsid w:val="5CCF142C"/>
    <w:rsid w:val="5D83094D"/>
    <w:rsid w:val="67E456BE"/>
    <w:rsid w:val="68C866AF"/>
    <w:rsid w:val="68CF67A8"/>
    <w:rsid w:val="6A7A7D9F"/>
    <w:rsid w:val="6A801EA2"/>
    <w:rsid w:val="6B9A4266"/>
    <w:rsid w:val="6D9A7CE0"/>
    <w:rsid w:val="6DAB40E6"/>
    <w:rsid w:val="733E6FD7"/>
    <w:rsid w:val="74BC0AC2"/>
    <w:rsid w:val="750E36C3"/>
    <w:rsid w:val="76C7704C"/>
    <w:rsid w:val="7E97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E1"/>
    <w:pPr>
      <w:widowControl w:val="0"/>
    </w:pPr>
    <w:rPr>
      <w:rFonts w:asciiTheme="minorHAnsi" w:eastAsia="仿宋_GB2312" w:hAnsiTheme="minorHAnsi" w:cstheme="minorBidi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33D4"/>
    <w:rPr>
      <w:rFonts w:asciiTheme="minorHAnsi" w:eastAsia="仿宋_GB2312" w:hAnsiTheme="minorHAnsi" w:cstheme="minorBidi"/>
      <w:b/>
      <w:kern w:val="2"/>
      <w:sz w:val="18"/>
      <w:szCs w:val="18"/>
    </w:rPr>
  </w:style>
  <w:style w:type="paragraph" w:styleId="a4">
    <w:name w:val="footer"/>
    <w:basedOn w:val="a"/>
    <w:link w:val="Char0"/>
    <w:rsid w:val="009333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33D4"/>
    <w:rPr>
      <w:rFonts w:asciiTheme="minorHAnsi" w:eastAsia="仿宋_GB2312" w:hAnsiTheme="minorHAnsi" w:cstheme="minorBidi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Micorosoft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Micorosoft</cp:lastModifiedBy>
  <cp:revision>2</cp:revision>
  <dcterms:created xsi:type="dcterms:W3CDTF">2018-07-20T01:08:00Z</dcterms:created>
  <dcterms:modified xsi:type="dcterms:W3CDTF">2018-07-20T01:08:00Z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