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/>
          <w:kern w:val="0"/>
          <w:sz w:val="28"/>
          <w:szCs w:val="28"/>
        </w:rPr>
        <w:t>附件2：</w:t>
      </w:r>
    </w:p>
    <w:p>
      <w:pPr>
        <w:spacing w:line="52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体检须知</w:t>
      </w:r>
    </w:p>
    <w:p>
      <w:pPr>
        <w:spacing w:line="520" w:lineRule="exact"/>
        <w:rPr>
          <w:rFonts w:hint="eastAsia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为了准确反映受检者身体的真实状况，请注意以下事项：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1.统一到指定医院进行体检，自行到其它医疗单位的检查结果一律无效。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2.体检严禁弄虚作假、冒名顶替；如隐瞒病史影响体检结果的，后果自负。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3.体检表上贴近期二寸免冠照片一张。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4.体检表由受检者本人填写（用黑色签字笔或钢笔），要求字迹清楚，无涂改，病史部分要如实、逐项填齐，不能遗漏。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5.体检前一天请注意休息，勿熬夜，不要饮酒，避免剧烈运动。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6.体检当天需进行采血、B超等检查，请在受检前禁食8-12小时。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7.女性受检者月经期间请勿做妇科及尿液检查，待经期完毕后再补检；怀孕或可能已受孕者，事先告知医护人员，勿做X光检查。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8.请配合医生认真检查所有项目，勿漏检。若自动放弃某一检查项目，将会影响对您的录用。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9.体检医师可根据实际需要，增加必要的相应检查、检验项目。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10．根据《公务员录用规定（试行）》规定，招录机关或者报考者对体检结果有疑问的，可以按照规定提出复检。必要时，设区的市级以上公务员主管部门可以要求体检对象复检。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1373B"/>
    <w:rsid w:val="7DF1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2018-03-26T07:55:00Z</dcterms:created>
  <dc:creator>中公—婷婷</dc:creator>
  <cp:lastModifiedBy>中公—婷婷</cp:lastModifiedBy>
  <dcterms:modified xsi:type="dcterms:W3CDTF">2018-03-26T07:56:01Z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