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45" w:lineRule="atLeast"/>
        <w:ind w:left="0" w:firstLine="0"/>
        <w:rPr>
          <w:rFonts w:hint="default" w:ascii="Arial" w:hAnsi="Arial" w:cs="Arial"/>
          <w:b w:val="0"/>
          <w:i w:val="0"/>
          <w:caps w:val="0"/>
          <w:color w:val="000000"/>
          <w:spacing w:val="0"/>
          <w:sz w:val="18"/>
          <w:szCs w:val="18"/>
        </w:rPr>
      </w:pPr>
      <w:r>
        <w:rPr>
          <w:rFonts w:ascii="仿宋_gb2312" w:hAnsi="Arial" w:eastAsia="仿宋_gb2312" w:cs="仿宋_gb2312"/>
          <w:b w:val="0"/>
          <w:i w:val="0"/>
          <w:caps w:val="0"/>
          <w:color w:val="000000"/>
          <w:spacing w:val="0"/>
          <w:sz w:val="31"/>
          <w:szCs w:val="31"/>
        </w:rPr>
        <w:t> </w:t>
      </w:r>
      <w:r>
        <w:rPr>
          <w:rFonts w:ascii="黑体" w:hAnsi="宋体" w:eastAsia="黑体" w:cs="黑体"/>
          <w:b w:val="0"/>
          <w:i w:val="0"/>
          <w:caps w:val="0"/>
          <w:color w:val="000000"/>
          <w:spacing w:val="0"/>
          <w:sz w:val="31"/>
          <w:szCs w:val="31"/>
        </w:rPr>
        <w:t>附件1：</w:t>
      </w:r>
    </w:p>
    <w:p>
      <w:pPr>
        <w:pStyle w:val="2"/>
        <w:keepNext w:val="0"/>
        <w:keepLines w:val="0"/>
        <w:widowControl/>
        <w:suppressLineNumbers w:val="0"/>
        <w:spacing w:line="645" w:lineRule="atLeast"/>
        <w:ind w:left="0" w:firstLine="600"/>
        <w:jc w:val="center"/>
        <w:rPr>
          <w:rFonts w:hint="default" w:ascii="Arial" w:hAnsi="Arial" w:cs="Arial"/>
          <w:b w:val="0"/>
          <w:i w:val="0"/>
          <w:caps w:val="0"/>
          <w:color w:val="000000"/>
          <w:spacing w:val="0"/>
          <w:sz w:val="18"/>
          <w:szCs w:val="18"/>
        </w:rPr>
      </w:pPr>
      <w:r>
        <w:rPr>
          <w:rFonts w:ascii="方正小标宋简体" w:hAnsi="方正小标宋简体" w:eastAsia="方正小标宋简体" w:cs="方正小标宋简体"/>
          <w:b w:val="0"/>
          <w:i w:val="0"/>
          <w:caps w:val="0"/>
          <w:color w:val="000000"/>
          <w:spacing w:val="0"/>
          <w:sz w:val="43"/>
          <w:szCs w:val="43"/>
        </w:rPr>
        <w:t>资格复审和体能测评时间、地点安排表</w:t>
      </w:r>
      <w:bookmarkStart w:id="0" w:name="_GoBack"/>
      <w:bookmarkEnd w:id="0"/>
      <w:r>
        <w:rPr>
          <w:rFonts w:hint="default" w:ascii="方正小标宋简体" w:hAnsi="方正小标宋简体" w:eastAsia="方正小标宋简体" w:cs="方正小标宋简体"/>
          <w:b w:val="0"/>
          <w:i w:val="0"/>
          <w:caps w:val="0"/>
          <w:color w:val="000000"/>
          <w:spacing w:val="0"/>
          <w:sz w:val="24"/>
          <w:szCs w:val="24"/>
        </w:rPr>
        <w:t> </w:t>
      </w:r>
    </w:p>
    <w:tbl>
      <w:tblPr>
        <w:tblW w:w="9749" w:type="dxa"/>
        <w:jc w:val="center"/>
        <w:tblCellSpacing w:w="0" w:type="dxa"/>
        <w:tblInd w:w="-6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249"/>
        <w:gridCol w:w="3249"/>
        <w:gridCol w:w="32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125" w:hRule="atLeast"/>
          <w:tblCellSpacing w:w="0" w:type="dxa"/>
          <w:jc w:val="center"/>
        </w:trPr>
        <w:tc>
          <w:tcPr>
            <w:tcW w:w="3249" w:type="dxa"/>
            <w:vMerge w:val="restart"/>
            <w:tcBorders>
              <w:top w:val="single" w:color="000000" w:sz="6" w:space="0"/>
              <w:left w:val="single" w:color="000000" w:sz="6" w:space="0"/>
              <w:bottom w:val="single" w:color="000000" w:sz="6" w:space="0"/>
              <w:right w:val="single" w:color="000000" w:sz="6" w:space="0"/>
            </w:tcBorders>
            <w:shd w:val="clear"/>
            <w:tcMar>
              <w:left w:w="90" w:type="dxa"/>
              <w:right w:w="90" w:type="dxa"/>
            </w:tcMar>
            <w:vAlign w:val="center"/>
          </w:tcPr>
          <w:p>
            <w:pPr>
              <w:pStyle w:val="2"/>
              <w:keepNext w:val="0"/>
              <w:keepLines w:val="0"/>
              <w:widowControl/>
              <w:suppressLineNumbers w:val="0"/>
              <w:spacing w:line="555" w:lineRule="atLeast"/>
              <w:jc w:val="center"/>
            </w:pPr>
            <w:r>
              <w:rPr>
                <w:rFonts w:ascii="仿宋" w:hAnsi="仿宋" w:eastAsia="仿宋" w:cs="仿宋"/>
                <w:caps w:val="0"/>
                <w:color w:val="000000"/>
                <w:spacing w:val="0"/>
                <w:sz w:val="30"/>
                <w:szCs w:val="30"/>
                <w:bdr w:val="none" w:color="auto" w:sz="0" w:space="0"/>
              </w:rPr>
              <w:t>报考专职人民武装干部职位的考生</w:t>
            </w:r>
          </w:p>
        </w:tc>
        <w:tc>
          <w:tcPr>
            <w:tcW w:w="3249" w:type="dxa"/>
            <w:tcBorders>
              <w:top w:val="single" w:color="auto" w:sz="6" w:space="0"/>
              <w:left w:val="nil"/>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资格复审时间</w:t>
            </w:r>
          </w:p>
        </w:tc>
        <w:tc>
          <w:tcPr>
            <w:tcW w:w="3251" w:type="dxa"/>
            <w:tcBorders>
              <w:top w:val="single" w:color="auto" w:sz="6" w:space="0"/>
              <w:left w:val="nil"/>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5月26日（星期五）上午8:30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tblCellSpacing w:w="0" w:type="dxa"/>
          <w:jc w:val="center"/>
        </w:trPr>
        <w:tc>
          <w:tcPr>
            <w:tcW w:w="3249" w:type="dxa"/>
            <w:vMerge w:val="continue"/>
            <w:tcBorders>
              <w:top w:val="single" w:color="000000" w:sz="6" w:space="0"/>
              <w:left w:val="single" w:color="000000" w:sz="6" w:space="0"/>
              <w:bottom w:val="single" w:color="000000" w:sz="6" w:space="0"/>
              <w:right w:val="single" w:color="000000" w:sz="6" w:space="0"/>
            </w:tcBorders>
            <w:shd w:val="clear"/>
            <w:tcMar>
              <w:left w:w="90" w:type="dxa"/>
              <w:right w:w="90" w:type="dxa"/>
            </w:tcMar>
            <w:vAlign w:val="center"/>
          </w:tcPr>
          <w:p>
            <w:pPr>
              <w:jc w:val="center"/>
              <w:rPr>
                <w:rFonts w:hint="default" w:ascii="Arial" w:hAnsi="Arial" w:cs="Arial"/>
                <w:caps w:val="0"/>
                <w:spacing w:val="0"/>
                <w:sz w:val="18"/>
                <w:szCs w:val="18"/>
              </w:rPr>
            </w:pPr>
          </w:p>
        </w:tc>
        <w:tc>
          <w:tcPr>
            <w:tcW w:w="3249" w:type="dxa"/>
            <w:tcBorders>
              <w:top w:val="single" w:color="auto" w:sz="6" w:space="0"/>
              <w:left w:val="nil"/>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资格复审地点</w:t>
            </w:r>
          </w:p>
        </w:tc>
        <w:tc>
          <w:tcPr>
            <w:tcW w:w="3251" w:type="dxa"/>
            <w:tcBorders>
              <w:top w:val="single" w:color="auto" w:sz="6" w:space="0"/>
              <w:left w:val="nil"/>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中共平阳县委组织部（平阳县府大院2号楼318室）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tblCellSpacing w:w="0" w:type="dxa"/>
          <w:jc w:val="center"/>
        </w:trPr>
        <w:tc>
          <w:tcPr>
            <w:tcW w:w="3249" w:type="dxa"/>
            <w:vMerge w:val="restart"/>
            <w:tcBorders>
              <w:top w:val="single" w:color="000000" w:sz="6" w:space="0"/>
              <w:left w:val="single" w:color="000000" w:sz="6" w:space="0"/>
              <w:bottom w:val="single" w:color="000000" w:sz="6" w:space="0"/>
              <w:right w:val="single" w:color="000000" w:sz="6" w:space="0"/>
            </w:tcBorders>
            <w:shd w:val="clear"/>
            <w:tcMar>
              <w:left w:w="90" w:type="dxa"/>
              <w:right w:w="90" w:type="dxa"/>
            </w:tcMar>
            <w:vAlign w:val="center"/>
          </w:tcPr>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报考平阳县司法系统</w:t>
            </w:r>
          </w:p>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人民警察职位的考生</w:t>
            </w:r>
          </w:p>
        </w:tc>
        <w:tc>
          <w:tcPr>
            <w:tcW w:w="3249" w:type="dxa"/>
            <w:tcBorders>
              <w:top w:val="single" w:color="auto" w:sz="6" w:space="0"/>
              <w:left w:val="nil"/>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体能测评和资格复审时间</w:t>
            </w:r>
          </w:p>
        </w:tc>
        <w:tc>
          <w:tcPr>
            <w:tcW w:w="3251" w:type="dxa"/>
            <w:tcBorders>
              <w:top w:val="single" w:color="auto" w:sz="6" w:space="0"/>
              <w:left w:val="nil"/>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5月27日（星期六）上午8:30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tblCellSpacing w:w="0" w:type="dxa"/>
          <w:jc w:val="center"/>
        </w:trPr>
        <w:tc>
          <w:tcPr>
            <w:tcW w:w="3249" w:type="dxa"/>
            <w:vMerge w:val="continue"/>
            <w:tcBorders>
              <w:top w:val="single" w:color="000000" w:sz="6" w:space="0"/>
              <w:left w:val="single" w:color="000000" w:sz="6" w:space="0"/>
              <w:bottom w:val="single" w:color="000000" w:sz="6" w:space="0"/>
              <w:right w:val="single" w:color="000000" w:sz="6" w:space="0"/>
            </w:tcBorders>
            <w:shd w:val="clear"/>
            <w:tcMar>
              <w:left w:w="90" w:type="dxa"/>
              <w:right w:w="90" w:type="dxa"/>
            </w:tcMar>
            <w:vAlign w:val="center"/>
          </w:tcPr>
          <w:p>
            <w:pPr>
              <w:jc w:val="center"/>
              <w:rPr>
                <w:rFonts w:hint="default" w:ascii="Arial" w:hAnsi="Arial" w:cs="Arial"/>
                <w:caps w:val="0"/>
                <w:spacing w:val="0"/>
                <w:sz w:val="18"/>
                <w:szCs w:val="18"/>
              </w:rPr>
            </w:pPr>
          </w:p>
        </w:tc>
        <w:tc>
          <w:tcPr>
            <w:tcW w:w="3249" w:type="dxa"/>
            <w:tcBorders>
              <w:top w:val="single" w:color="auto" w:sz="6" w:space="0"/>
              <w:left w:val="nil"/>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体能测评和资格复审地点</w:t>
            </w:r>
          </w:p>
        </w:tc>
        <w:tc>
          <w:tcPr>
            <w:tcW w:w="3251" w:type="dxa"/>
            <w:tcBorders>
              <w:top w:val="single" w:color="auto" w:sz="6" w:space="0"/>
              <w:left w:val="nil"/>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苍南中学（苍南县灵溪镇仁英路）大操场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tblCellSpacing w:w="0" w:type="dxa"/>
          <w:jc w:val="center"/>
        </w:trPr>
        <w:tc>
          <w:tcPr>
            <w:tcW w:w="3249" w:type="dxa"/>
            <w:vMerge w:val="restart"/>
            <w:tcBorders>
              <w:top w:val="single" w:color="000000" w:sz="6" w:space="0"/>
              <w:left w:val="single" w:color="000000" w:sz="6" w:space="0"/>
              <w:bottom w:val="single" w:color="000000" w:sz="6" w:space="0"/>
              <w:right w:val="single" w:color="000000" w:sz="6" w:space="0"/>
            </w:tcBorders>
            <w:shd w:val="clear"/>
            <w:tcMar>
              <w:left w:w="90" w:type="dxa"/>
              <w:right w:w="90" w:type="dxa"/>
            </w:tcMar>
            <w:vAlign w:val="center"/>
          </w:tcPr>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除报考专职人民武装干部和司法系统人民警察职位外其他职位的考生</w:t>
            </w:r>
          </w:p>
        </w:tc>
        <w:tc>
          <w:tcPr>
            <w:tcW w:w="3249" w:type="dxa"/>
            <w:tcBorders>
              <w:top w:val="single" w:color="auto" w:sz="6" w:space="0"/>
              <w:left w:val="nil"/>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资格复审时间</w:t>
            </w:r>
          </w:p>
        </w:tc>
        <w:tc>
          <w:tcPr>
            <w:tcW w:w="3251" w:type="dxa"/>
            <w:tcBorders>
              <w:top w:val="single" w:color="auto" w:sz="6" w:space="0"/>
              <w:left w:val="nil"/>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5月27日（星期六）</w:t>
            </w:r>
          </w:p>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09:00-11:30</w:t>
            </w:r>
          </w:p>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14:00-16:30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tblCellSpacing w:w="0" w:type="dxa"/>
          <w:jc w:val="center"/>
        </w:trPr>
        <w:tc>
          <w:tcPr>
            <w:tcW w:w="3249" w:type="dxa"/>
            <w:vMerge w:val="continue"/>
            <w:tcBorders>
              <w:top w:val="single" w:color="000000" w:sz="6" w:space="0"/>
              <w:left w:val="single" w:color="000000" w:sz="6" w:space="0"/>
              <w:bottom w:val="single" w:color="000000" w:sz="6" w:space="0"/>
              <w:right w:val="single" w:color="000000" w:sz="6" w:space="0"/>
            </w:tcBorders>
            <w:shd w:val="clear"/>
            <w:tcMar>
              <w:left w:w="90" w:type="dxa"/>
              <w:right w:w="90" w:type="dxa"/>
            </w:tcMar>
            <w:vAlign w:val="center"/>
          </w:tcPr>
          <w:p>
            <w:pPr>
              <w:jc w:val="center"/>
              <w:rPr>
                <w:rFonts w:hint="default" w:ascii="Arial" w:hAnsi="Arial" w:cs="Arial"/>
                <w:caps w:val="0"/>
                <w:spacing w:val="0"/>
                <w:sz w:val="18"/>
                <w:szCs w:val="18"/>
              </w:rPr>
            </w:pPr>
          </w:p>
        </w:tc>
        <w:tc>
          <w:tcPr>
            <w:tcW w:w="3249" w:type="dxa"/>
            <w:tcBorders>
              <w:top w:val="nil"/>
              <w:left w:val="nil"/>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资格复审地点</w:t>
            </w:r>
          </w:p>
        </w:tc>
        <w:tc>
          <w:tcPr>
            <w:tcW w:w="3251" w:type="dxa"/>
            <w:tcBorders>
              <w:top w:val="nil"/>
              <w:left w:val="nil"/>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spacing w:line="555" w:lineRule="atLeast"/>
              <w:jc w:val="left"/>
            </w:pPr>
            <w:r>
              <w:rPr>
                <w:rFonts w:hint="eastAsia" w:ascii="仿宋" w:hAnsi="仿宋" w:eastAsia="仿宋" w:cs="仿宋"/>
                <w:caps w:val="0"/>
                <w:color w:val="000000"/>
                <w:spacing w:val="0"/>
                <w:sz w:val="30"/>
                <w:szCs w:val="30"/>
                <w:bdr w:val="none" w:color="auto" w:sz="0" w:space="0"/>
              </w:rPr>
              <w:t>平阳县人才大楼（昆阳镇吉祥路112号）5楼会议室</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E54CBC"/>
    <w:rsid w:val="1E4A2462"/>
    <w:rsid w:val="314B499A"/>
    <w:rsid w:val="5E801FBA"/>
    <w:rsid w:val="6FC95D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2017-05-24T04:31:35Z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