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1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1173"/>
        <w:gridCol w:w="1121"/>
        <w:gridCol w:w="931"/>
        <w:gridCol w:w="1362"/>
        <w:gridCol w:w="620"/>
        <w:gridCol w:w="2481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1" w:type="dxa"/>
            <w:gridSpan w:val="8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2017年温州乐清市考试录用</w:t>
            </w: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专职人民武装干部学员拟录用人员名单公示（4）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7" w:type="dxa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 xml:space="preserve">公示时间：2017年8月29日—9月4日 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报考单位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报考职位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工作单位或毕业院校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5"/>
                <w:szCs w:val="15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专职人民武装干部学员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罗快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03201201128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河北工程大学科信学院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bdr w:val="none" w:color="auto" w:sz="0" w:space="0"/>
              </w:rPr>
              <w:t>乐清市乡镇机关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rFonts w:ascii="Calibri" w:hAnsi="Calibri" w:eastAsia="Calibri" w:cs="Calibri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52E28"/>
    <w:rsid w:val="71252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2017-08-28T11:19:00Z</dcterms:created>
  <dc:creator>ASUS</dc:creator>
  <cp:lastModifiedBy>ASUS</cp:lastModifiedBy>
  <dcterms:modified xsi:type="dcterms:W3CDTF">2017-08-28T11:19:09Z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