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2017年</w:t>
      </w:r>
      <w:r>
        <w:rPr>
          <w:shd w:val="clear" w:fill="FFFFFF"/>
        </w:rPr>
        <w:t>杭州青少年活动中心统一公开招聘工作人员拟聘用人员公示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224" w:type="dxa"/>
        <w:jc w:val="center"/>
        <w:tblCellSpacing w:w="0" w:type="dxa"/>
        <w:tblInd w:w="5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614"/>
        <w:gridCol w:w="1027"/>
        <w:gridCol w:w="1202"/>
        <w:gridCol w:w="1640"/>
        <w:gridCol w:w="19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职称 </w:t>
            </w:r>
          </w:p>
        </w:tc>
        <w:tc>
          <w:tcPr>
            <w:tcW w:w="16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汤海波 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1989.5 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大学本科 </w:t>
            </w:r>
          </w:p>
        </w:tc>
        <w:tc>
          <w:tcPr>
            <w:tcW w:w="16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宁波大学会计学专业 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后勤服务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A24C6"/>
    <w:rsid w:val="54FA24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2017-08-16T11:49:00Z</dcterms:created>
  <dc:creator>ASUS</dc:creator>
  <cp:lastModifiedBy>ASUS</cp:lastModifiedBy>
  <dcterms:modified xsi:type="dcterms:W3CDTF">2017-08-16T11:49:51Z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