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40" w:lineRule="atLeast"/>
        <w:ind w:left="0" w:right="0" w:firstLine="602"/>
        <w:jc w:val="center"/>
      </w:pPr>
      <w:r>
        <w:rPr>
          <w:rFonts w:ascii="仿宋" w:hAnsi="仿宋" w:eastAsia="仿宋" w:cs="仿宋"/>
          <w:b/>
          <w:kern w:val="0"/>
          <w:sz w:val="30"/>
          <w:szCs w:val="30"/>
          <w:lang w:val="en-US" w:eastAsia="zh-CN" w:bidi="ar"/>
        </w:rPr>
        <w:t>2017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 w:bidi="ar"/>
        </w:rPr>
        <w:t>年丽水南城实验幼儿园公开招聘工作人员拟聘用人员名单</w:t>
      </w:r>
    </w:p>
    <w:tbl>
      <w:tblPr>
        <w:tblW w:w="8920" w:type="dxa"/>
        <w:jc w:val="center"/>
        <w:tblInd w:w="-19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420"/>
        <w:gridCol w:w="800"/>
        <w:gridCol w:w="820"/>
        <w:gridCol w:w="700"/>
        <w:gridCol w:w="1140"/>
        <w:gridCol w:w="854"/>
        <w:gridCol w:w="1826"/>
        <w:gridCol w:w="7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  <w:szCs w:val="22"/>
                <w:lang w:val="en-US" w:eastAsia="zh-CN" w:bidi="ar"/>
              </w:rPr>
              <w:t>拟聘单位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  <w:szCs w:val="22"/>
                <w:lang w:val="en-US" w:eastAsia="zh-CN" w:bidi="ar"/>
              </w:rPr>
              <w:t>学历/学位</w:t>
            </w:r>
          </w:p>
        </w:tc>
        <w:tc>
          <w:tcPr>
            <w:tcW w:w="1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  <w:szCs w:val="22"/>
                <w:lang w:val="en-US" w:eastAsia="zh-CN" w:bidi="ar"/>
              </w:rPr>
              <w:t>毕业学校及专业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丽水南城实验幼儿园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1989.10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中央广播电视大学会计学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450" w:lineRule="atLeast"/>
        <w:ind w:left="0" w:right="0"/>
        <w:jc w:val="left"/>
      </w:pPr>
      <w:r>
        <w:rPr>
          <w:rFonts w:ascii="仿宋_GB2312" w:eastAsia="仿宋_GB2312" w:cs="仿宋_GB2312" w:hAnsiTheme="minorHAnsi"/>
          <w:color w:val="333333"/>
          <w:kern w:val="0"/>
          <w:sz w:val="30"/>
          <w:szCs w:val="3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75F49"/>
    <w:rsid w:val="5D375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2017-08-23T12:46:00Z</dcterms:created>
  <dc:creator>ASUS</dc:creator>
  <cp:lastModifiedBy>ASUS</cp:lastModifiedBy>
  <dcterms:modified xsi:type="dcterms:W3CDTF">2017-08-23T12:46:40Z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