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768" w:type="dxa"/>
        <w:jc w:val="center"/>
        <w:tblInd w:w="95" w:type="dxa"/>
        <w:shd w:val="clear"/>
        <w:tblLayout w:type="fixed"/>
        <w:tblCellMar>
          <w:top w:w="0" w:type="dxa"/>
          <w:left w:w="0" w:type="dxa"/>
          <w:bottom w:w="0" w:type="dxa"/>
          <w:right w:w="0" w:type="dxa"/>
        </w:tblCellMar>
      </w:tblPr>
      <w:tblGrid>
        <w:gridCol w:w="13768"/>
      </w:tblGrid>
      <w:tr>
        <w:tblPrEx>
          <w:shd w:val="clear"/>
          <w:tblLayout w:type="fixed"/>
          <w:tblCellMar>
            <w:top w:w="0" w:type="dxa"/>
            <w:left w:w="0" w:type="dxa"/>
            <w:bottom w:w="0" w:type="dxa"/>
            <w:right w:w="0" w:type="dxa"/>
          </w:tblCellMar>
        </w:tblPrEx>
        <w:trPr>
          <w:trHeight w:val="627" w:hRule="atLeast"/>
          <w:jc w:val="center"/>
        </w:trPr>
        <w:tc>
          <w:tcPr>
            <w:tcW w:w="13768" w:type="dxa"/>
            <w:shd w:val="clear"/>
            <w:tcMar>
              <w:top w:w="275" w:type="dxa"/>
            </w:tcMar>
            <w:vAlign w:val="center"/>
          </w:tcPr>
          <w:p>
            <w:pPr>
              <w:keepNext w:val="0"/>
              <w:keepLines w:val="0"/>
              <w:widowControl/>
              <w:suppressLineNumbers w:val="0"/>
              <w:spacing w:before="0" w:beforeAutospacing="0" w:after="0" w:afterAutospacing="0" w:line="376" w:lineRule="atLeast"/>
              <w:ind w:left="0" w:right="0" w:firstLine="0"/>
              <w:jc w:val="center"/>
              <w:rPr>
                <w:rFonts w:ascii="微软雅黑" w:hAnsi="微软雅黑" w:eastAsia="微软雅黑" w:cs="微软雅黑"/>
                <w:b/>
                <w:i w:val="0"/>
                <w:caps w:val="0"/>
                <w:color w:val="DB140C"/>
                <w:spacing w:val="0"/>
                <w:sz w:val="35"/>
                <w:szCs w:val="35"/>
              </w:rPr>
            </w:pPr>
            <w:r>
              <w:rPr>
                <w:rFonts w:hint="eastAsia" w:ascii="微软雅黑" w:hAnsi="微软雅黑" w:eastAsia="微软雅黑" w:cs="微软雅黑"/>
                <w:b/>
                <w:i w:val="0"/>
                <w:caps w:val="0"/>
                <w:color w:val="DB140C"/>
                <w:spacing w:val="0"/>
                <w:kern w:val="0"/>
                <w:sz w:val="35"/>
                <w:szCs w:val="35"/>
                <w:bdr w:val="none" w:color="auto" w:sz="0" w:space="0"/>
                <w:lang w:val="en-US" w:eastAsia="zh-CN" w:bidi="ar"/>
              </w:rPr>
              <w:t>2017年下半年永嘉县公开招聘和选调事业单位工作人员考试入围资格复审名单公布（1）</w:t>
            </w:r>
          </w:p>
        </w:tc>
      </w:tr>
      <w:tr>
        <w:tblPrEx>
          <w:shd w:val="clear"/>
          <w:tblLayout w:type="fixed"/>
          <w:tblCellMar>
            <w:top w:w="0" w:type="dxa"/>
            <w:left w:w="0" w:type="dxa"/>
            <w:bottom w:w="0" w:type="dxa"/>
            <w:right w:w="0" w:type="dxa"/>
          </w:tblCellMar>
        </w:tblPrEx>
        <w:trPr>
          <w:trHeight w:val="564" w:hRule="atLeast"/>
          <w:jc w:val="center"/>
        </w:trPr>
        <w:tc>
          <w:tcPr>
            <w:tcW w:w="13768" w:type="dxa"/>
            <w:shd w:val="clear"/>
            <w:vAlign w:val="center"/>
          </w:tcPr>
          <w:tbl>
            <w:tblPr>
              <w:tblW w:w="2560" w:type="dxa"/>
              <w:jc w:val="center"/>
              <w:tblInd w:w="5604" w:type="dxa"/>
              <w:shd w:val="clear"/>
              <w:tblLayout w:type="fixed"/>
              <w:tblCellMar>
                <w:top w:w="0" w:type="dxa"/>
                <w:left w:w="0" w:type="dxa"/>
                <w:bottom w:w="0" w:type="dxa"/>
                <w:right w:w="0" w:type="dxa"/>
              </w:tblCellMar>
            </w:tblPr>
            <w:tblGrid>
              <w:gridCol w:w="640"/>
              <w:gridCol w:w="256"/>
              <w:gridCol w:w="1024"/>
              <w:gridCol w:w="640"/>
            </w:tblGrid>
            <w:tr>
              <w:tblPrEx>
                <w:shd w:val="clear"/>
                <w:tblLayout w:type="fixed"/>
                <w:tblCellMar>
                  <w:top w:w="0" w:type="dxa"/>
                  <w:left w:w="0" w:type="dxa"/>
                  <w:bottom w:w="0" w:type="dxa"/>
                  <w:right w:w="0" w:type="dxa"/>
                </w:tblCellMar>
              </w:tblPrEx>
              <w:trPr>
                <w:jc w:val="center"/>
              </w:trPr>
              <w:tc>
                <w:tcPr>
                  <w:tcW w:w="640" w:type="dxa"/>
                  <w:shd w:val="clear"/>
                  <w:tcMar>
                    <w:right w:w="250" w:type="dxa"/>
                  </w:tcMar>
                  <w:vAlign w:val="center"/>
                </w:tcPr>
                <w:p>
                  <w:pPr>
                    <w:keepNext w:val="0"/>
                    <w:keepLines w:val="0"/>
                    <w:widowControl/>
                    <w:suppressLineNumbers w:val="0"/>
                    <w:spacing w:before="0" w:beforeAutospacing="0" w:after="0" w:afterAutospacing="0"/>
                    <w:ind w:left="0" w:right="0"/>
                    <w:jc w:val="left"/>
                    <w:rPr>
                      <w:color w:val="666666"/>
                      <w:sz w:val="15"/>
                      <w:szCs w:val="15"/>
                    </w:rPr>
                  </w:pPr>
                  <w:bookmarkStart w:id="0" w:name="_GoBack"/>
                  <w:bookmarkEnd w:id="0"/>
                </w:p>
              </w:tc>
              <w:tc>
                <w:tcPr>
                  <w:tcW w:w="256" w:type="dxa"/>
                  <w:shd w:val="clear"/>
                  <w:tcMar>
                    <w:right w:w="250" w:type="dxa"/>
                  </w:tcMar>
                  <w:vAlign w:val="center"/>
                </w:tcPr>
                <w:p>
                  <w:pPr>
                    <w:keepNext w:val="0"/>
                    <w:keepLines w:val="0"/>
                    <w:widowControl/>
                    <w:suppressLineNumbers w:val="0"/>
                    <w:spacing w:before="0" w:beforeAutospacing="0" w:after="0" w:afterAutospacing="0"/>
                    <w:ind w:left="0" w:right="0"/>
                    <w:jc w:val="left"/>
                    <w:rPr>
                      <w:color w:val="666666"/>
                      <w:sz w:val="15"/>
                      <w:szCs w:val="15"/>
                    </w:rPr>
                  </w:pPr>
                </w:p>
              </w:tc>
              <w:tc>
                <w:tcPr>
                  <w:tcW w:w="1024" w:type="dxa"/>
                  <w:shd w:val="clear"/>
                  <w:tcMar>
                    <w:right w:w="250" w:type="dxa"/>
                  </w:tcMar>
                  <w:vAlign w:val="center"/>
                </w:tcPr>
                <w:p>
                  <w:pPr>
                    <w:keepNext w:val="0"/>
                    <w:keepLines w:val="0"/>
                    <w:widowControl/>
                    <w:suppressLineNumbers w:val="0"/>
                    <w:spacing w:before="0" w:beforeAutospacing="0" w:after="0" w:afterAutospacing="0"/>
                    <w:ind w:left="0" w:right="0"/>
                    <w:jc w:val="left"/>
                    <w:rPr>
                      <w:color w:val="666666"/>
                      <w:sz w:val="15"/>
                      <w:szCs w:val="15"/>
                    </w:rPr>
                  </w:pPr>
                </w:p>
              </w:tc>
              <w:tc>
                <w:tcPr>
                  <w:tcW w:w="640" w:type="dxa"/>
                  <w:shd w:val="clear"/>
                  <w:vAlign w:val="center"/>
                </w:tcPr>
                <w:p>
                  <w:pPr>
                    <w:keepNext w:val="0"/>
                    <w:keepLines w:val="0"/>
                    <w:widowControl/>
                    <w:suppressLineNumbers w:val="0"/>
                    <w:spacing w:before="0" w:beforeAutospacing="0" w:after="0" w:afterAutospacing="0"/>
                    <w:ind w:left="0" w:right="0"/>
                    <w:jc w:val="left"/>
                    <w:rPr>
                      <w:color w:val="666666"/>
                      <w:sz w:val="15"/>
                      <w:szCs w:val="15"/>
                    </w:rPr>
                  </w:pPr>
                </w:p>
              </w:tc>
            </w:tr>
          </w:tbl>
          <w:p>
            <w:pPr>
              <w:jc w:val="center"/>
              <w:rPr>
                <w:rFonts w:hint="eastAsia" w:ascii="微软雅黑" w:hAnsi="微软雅黑" w:eastAsia="微软雅黑" w:cs="微软雅黑"/>
                <w:b w:val="0"/>
                <w:i w:val="0"/>
                <w:caps w:val="0"/>
                <w:color w:val="333333"/>
                <w:spacing w:val="0"/>
                <w:sz w:val="16"/>
                <w:szCs w:val="16"/>
              </w:rPr>
            </w:pPr>
          </w:p>
        </w:tc>
      </w:tr>
      <w:tr>
        <w:tblPrEx>
          <w:shd w:val="clear"/>
          <w:tblLayout w:type="fixed"/>
          <w:tblCellMar>
            <w:top w:w="0" w:type="dxa"/>
            <w:left w:w="0" w:type="dxa"/>
            <w:bottom w:w="0" w:type="dxa"/>
            <w:right w:w="0" w:type="dxa"/>
          </w:tblCellMar>
        </w:tblPrEx>
        <w:trPr>
          <w:jc w:val="center"/>
        </w:trPr>
        <w:tc>
          <w:tcPr>
            <w:tcW w:w="13768" w:type="dxa"/>
            <w:shd w:val="clear"/>
            <w:vAlign w:val="center"/>
          </w:tcPr>
          <w:p>
            <w:pPr>
              <w:keepNext w:val="0"/>
              <w:keepLines w:val="0"/>
              <w:widowControl/>
              <w:suppressLineNumbers w:val="0"/>
              <w:pBdr>
                <w:top w:val="single" w:color="EEEEEE" w:sz="4" w:space="0"/>
                <w:left w:val="none" w:color="auto" w:sz="0" w:space="0"/>
                <w:bottom w:val="none" w:color="auto" w:sz="0" w:space="0"/>
                <w:right w:val="none" w:color="auto" w:sz="0" w:space="0"/>
              </w:pBdr>
              <w:spacing w:before="0" w:beforeAutospacing="0" w:after="125" w:afterAutospacing="0" w:line="326" w:lineRule="atLeast"/>
              <w:ind w:left="0" w:right="0"/>
              <w:rPr>
                <w:color w:val="DDDDDD"/>
              </w:rPr>
            </w:pPr>
            <w:r>
              <w:rPr>
                <w:sz w:val="24"/>
                <w:szCs w:val="24"/>
              </w:rPr>
              <w:pict>
                <v:rect id="_x0000_i1025" o:spt="1" style="height:0.75pt;width:432pt;" fillcolor="#DDDDDD" filled="t" stroked="f" coordsize="21600,21600" o:hr="t" o:hrstd="t" o:hrnoshade="t" o:hralign="center">
                  <v:path/>
                  <v:fill on="t" focussize="0,0"/>
                  <v:stroke on="f"/>
                  <v:imagedata o:title=""/>
                  <o:lock v:ext="edit"/>
                  <w10:wrap type="none"/>
                  <w10:anchorlock/>
                </v:rect>
              </w:pict>
            </w:r>
          </w:p>
          <w:tbl>
            <w:tblPr>
              <w:tblW w:w="13079" w:type="dxa"/>
              <w:jc w:val="center"/>
              <w:tblInd w:w="3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704"/>
              <w:gridCol w:w="705"/>
              <w:gridCol w:w="704"/>
              <w:gridCol w:w="3722"/>
              <w:gridCol w:w="1040"/>
              <w:gridCol w:w="1710"/>
              <w:gridCol w:w="1375"/>
              <w:gridCol w:w="705"/>
              <w:gridCol w:w="1710"/>
              <w:gridCol w:w="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266"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序号</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考生姓名</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性别</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准考证号</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职位代码</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报考职位</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综合应用能力成绩</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职业能力倾向测验成绩</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笔试总成绩</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岗位名次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0"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李孙政</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男</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00307010104</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101</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永嘉县民间信仰事务所</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61</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60</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121</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0"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林琼</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女</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00307010107</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102</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永嘉县民间信仰事务所</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58</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75</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133</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4"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李玛丽</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女</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00307010206</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103</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永嘉县12345政务服务热线中心</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66</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75</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141</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4"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4</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徐立言</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男</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00307010221</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104</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永嘉县12345政务服务热线中心</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68</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80</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148</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4"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5</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廖诗然</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女</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00307010516</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105</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永嘉县经济体制改革研究中心</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64</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81</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145</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3"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朱若冰</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女</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00307010619</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107</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永嘉县港航管理局</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61.5</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70</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131.5</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3"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汪珊珊</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女</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00307010626</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108</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永嘉县渡口安全管理办公室</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67</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65</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132</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3"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8</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金琪琦</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女</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00307010707</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109</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永嘉县公路管理局</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67.5</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70</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137.5</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3"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9</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戴婵娟</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女</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00307010816</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110</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永嘉县公路管理局</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63.5</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76</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139.5</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3"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10</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陈文一</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男</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00307010929</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112</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永嘉县公路管理局</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62</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77</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139</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3"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11</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陈海波</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男</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00307011229</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113</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永嘉县公路管理局</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56</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79</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135</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0"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12</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戴本斌</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男</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00307011326</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114</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永嘉县岩头水利管理所</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60</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75</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135</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0"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郑李聪</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男</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00307011522</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115</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永嘉县鹤盛水利管理所</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67.5</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60</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127.5</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3"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14</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陈若蓉</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女</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00307011525</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116</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永嘉县卫生监督所</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60.5</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76</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136.5</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3"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15</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金智强</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男</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00307011612</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117</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永嘉县卫生监督所</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61.5</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81</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142.5</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0"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16</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叶静</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男</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00307011626</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118</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永嘉县岩头环境管理所</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63.5</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74</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137.5</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0"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17</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林卓</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男</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00307011707</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119</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永嘉县碧莲环境管理所</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60.5</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72</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132.5</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5"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孙秀</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男</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00307011808</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120</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永嘉县综合行政执法局瓯北综合行政执法中队</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59.5</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74</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133.5</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2"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19</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廖晨晨</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女</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00307011821</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121</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永嘉县综合行政执法局岩头综合行政执法中队</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65.5</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69</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134.5</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20</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柯聪聪</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女</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00307011827</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122</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永嘉县综合行政执法局金溪综合行政执法中队</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64.5</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68</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132.5</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3"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21</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吴成洲</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男</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00307011922</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124</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永嘉县工务局</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59.5</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68</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127.5</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2"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22</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李泽</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男</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00307012006</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125</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永嘉县不动产登记服务中心</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54</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84</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138</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2"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23</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朱则国</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男</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00307012001</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125</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永嘉县不动产登记服务中心</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63</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69</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132</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2"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24</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戴智娟</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女</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00307012021</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126</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永嘉县不动产登记服务中心</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59.5</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71</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130.5</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9"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25</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厉丐滨</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男</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00307012111</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128</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永嘉县桥头镇农业综合服务中心</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61</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74</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135</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2"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26</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吴林灿</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男</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00307014003</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129</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永嘉县桥头镇卫生和计划生育管理服务中心</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73.5</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78</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151.5</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4"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27</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李骏</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男</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00307014411</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130</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永嘉县岩头镇农业综合服务中心</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71.5</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67</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138.5</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2"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28</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金洁</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女</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00307014508</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131</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永嘉县岩头镇农业综合服务中心</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58.5</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76</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134.5</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4"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29</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潘安彪</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男</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00307014617</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132</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永嘉县岩坦镇农业综合服务中心</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68</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69</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137</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4"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30</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杨加利</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男</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00307014719</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133</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永嘉县岩坦镇农业综合服务中心</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70</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74</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144</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4"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31</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王元成</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男</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00307014722</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133</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永嘉县岩坦镇农业综合服务中心</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66</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71</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137</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3"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32</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金双双</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女</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00307015017</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134</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永嘉县岩坦镇统计信息中心</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72</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68</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140</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2"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33</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李明佳</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女</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00307015124</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135</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永嘉县金溪镇统计信息中心</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59.5</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73</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132.5</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2"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34</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郑翔翔</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女</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00307015301</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136</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永嘉县乌牛统计信息中心</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72</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80</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152</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7"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35</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徐金燕</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女</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00307015310</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137</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永嘉县黄田街道安全生产监督管理所</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64.5</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70</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134.5</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9"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36</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李姗姗</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女</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00307015329</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138</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永嘉县云岭乡农业综合服务中心</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63</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74</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137</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4"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37</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黄胜克</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男</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00307015408</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139</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永嘉县茗岙乡公共事务服务中心</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64.5</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70</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134.5</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4"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38</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章涵炯</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男</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00307015602</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140</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永嘉县溪下乡农业综合服务中心</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66</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70</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136</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7" w:hRule="atLeast"/>
                <w:jc w:val="center"/>
              </w:trPr>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39</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邹渊博</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男</w:t>
                  </w:r>
                </w:p>
              </w:tc>
              <w:tc>
                <w:tcPr>
                  <w:tcW w:w="3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00307015630</w:t>
                  </w:r>
                </w:p>
              </w:tc>
              <w:tc>
                <w:tcPr>
                  <w:tcW w:w="10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201</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永嘉县民间信仰事务所</w:t>
                  </w:r>
                </w:p>
              </w:tc>
              <w:tc>
                <w:tcPr>
                  <w:tcW w:w="13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65.5</w:t>
                  </w:r>
                </w:p>
              </w:tc>
              <w:tc>
                <w:tcPr>
                  <w:tcW w:w="7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63</w:t>
                  </w:r>
                </w:p>
              </w:tc>
              <w:tc>
                <w:tcPr>
                  <w:tcW w:w="17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128.5</w:t>
                  </w:r>
                </w:p>
              </w:tc>
              <w:tc>
                <w:tcPr>
                  <w:tcW w:w="70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6" w:beforeAutospacing="0" w:after="126" w:afterAutospacing="0" w:line="326" w:lineRule="atLeast"/>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6" w:beforeAutospacing="0" w:after="126" w:afterAutospacing="0" w:line="326" w:lineRule="atLeast"/>
              <w:ind w:left="0" w:right="0"/>
              <w:jc w:val="left"/>
            </w:pPr>
            <w:r>
              <w:rPr>
                <w:rFonts w:hint="eastAsia" w:ascii="微软雅黑" w:hAnsi="微软雅黑" w:eastAsia="微软雅黑" w:cs="微软雅黑"/>
                <w:b w:val="0"/>
                <w:i w:val="0"/>
                <w:caps w:val="0"/>
                <w:color w:val="454545"/>
                <w:spacing w:val="0"/>
                <w:sz w:val="20"/>
                <w:szCs w:val="20"/>
                <w:u w:val="none"/>
                <w:bdr w:val="none" w:color="auto" w:sz="0" w:space="0"/>
              </w:rPr>
              <w:t>                                                                                </w:t>
            </w:r>
            <w:r>
              <w:rPr>
                <w:rFonts w:hint="eastAsia" w:ascii="微软雅黑" w:hAnsi="微软雅黑" w:eastAsia="微软雅黑" w:cs="微软雅黑"/>
                <w:b w:val="0"/>
                <w:i w:val="0"/>
                <w:caps w:val="0"/>
                <w:color w:val="454545"/>
                <w:spacing w:val="0"/>
                <w:sz w:val="22"/>
                <w:szCs w:val="22"/>
                <w:u w:val="none"/>
                <w:bdr w:val="none" w:color="auto" w:sz="0" w:space="0"/>
              </w:rPr>
              <w:t>永嘉县人力资源和社会保障局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6" w:beforeAutospacing="0" w:after="126" w:afterAutospacing="0" w:line="326" w:lineRule="atLeast"/>
              <w:ind w:left="0" w:right="0"/>
              <w:jc w:val="left"/>
            </w:pPr>
            <w:r>
              <w:rPr>
                <w:rFonts w:hint="eastAsia" w:ascii="微软雅黑" w:hAnsi="微软雅黑" w:eastAsia="微软雅黑" w:cs="微软雅黑"/>
                <w:b w:val="0"/>
                <w:i w:val="0"/>
                <w:caps w:val="0"/>
                <w:color w:val="454545"/>
                <w:spacing w:val="0"/>
                <w:sz w:val="22"/>
                <w:szCs w:val="22"/>
                <w:u w:val="none"/>
                <w:bdr w:val="none" w:color="auto" w:sz="0" w:space="0"/>
              </w:rPr>
              <w:t>                                                                     2017年11月7日</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61152"/>
    <w:rsid w:val="7C8611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2017-11-07T04:41:00Z</dcterms:created>
  <dc:creator>ASUS</dc:creator>
  <cp:lastModifiedBy>ASUS</cp:lastModifiedBy>
  <dcterms:modified xsi:type="dcterms:W3CDTF">2017-11-07T04:42:36Z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