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bCs/>
          <w:sz w:val="36"/>
          <w:szCs w:val="36"/>
        </w:rPr>
      </w:pPr>
      <w:r>
        <w:rPr>
          <w:rFonts w:hint="eastAsia"/>
          <w:b/>
          <w:bCs/>
          <w:sz w:val="36"/>
          <w:szCs w:val="36"/>
        </w:rPr>
        <w:t xml:space="preserve">   镇海中学南浔分校公开</w:t>
      </w:r>
      <w:r>
        <w:rPr>
          <w:b/>
          <w:bCs/>
          <w:sz w:val="36"/>
          <w:szCs w:val="36"/>
        </w:rPr>
        <w:t>招聘事业编制</w:t>
      </w:r>
      <w:r>
        <w:rPr>
          <w:rFonts w:hint="eastAsia"/>
          <w:b/>
          <w:bCs/>
          <w:sz w:val="36"/>
          <w:szCs w:val="36"/>
        </w:rPr>
        <w:t>教师公告</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根据《浙江省事业单位公开招聘人员暂行办法》（浙人才〔2007〕184号）、《中共浙江省委组织部 浙江省人力资源和社会保障厅关于进一步加强事业单位公开招聘工作的指导意见》（浙人社发〔2012〕194号）等有关规定，经</w:t>
      </w:r>
      <w:r>
        <w:rPr>
          <w:rFonts w:ascii="仿宋_GB2312" w:eastAsia="仿宋_GB2312"/>
          <w:sz w:val="24"/>
          <w:szCs w:val="24"/>
        </w:rPr>
        <w:t>区教育局审核，报区人力资源和社会保障局同意，</w:t>
      </w:r>
      <w:r>
        <w:rPr>
          <w:rFonts w:hint="eastAsia" w:ascii="仿宋_GB2312" w:eastAsia="仿宋_GB2312"/>
          <w:sz w:val="24"/>
          <w:szCs w:val="24"/>
        </w:rPr>
        <w:t>拟公开招聘事业编制</w:t>
      </w:r>
      <w:r>
        <w:rPr>
          <w:rFonts w:ascii="仿宋_GB2312" w:eastAsia="仿宋_GB2312"/>
          <w:sz w:val="24"/>
          <w:szCs w:val="24"/>
        </w:rPr>
        <w:t>初中</w:t>
      </w:r>
      <w:r>
        <w:rPr>
          <w:rFonts w:hint="eastAsia" w:ascii="仿宋_GB2312" w:eastAsia="仿宋_GB2312"/>
          <w:sz w:val="24"/>
          <w:szCs w:val="24"/>
        </w:rPr>
        <w:t xml:space="preserve">教师25名。  </w:t>
      </w:r>
    </w:p>
    <w:p>
      <w:pPr>
        <w:spacing w:line="360" w:lineRule="auto"/>
        <w:ind w:firstLine="482" w:firstLineChars="200"/>
        <w:rPr>
          <w:rFonts w:ascii="黑体" w:hAnsi="黑体" w:eastAsia="黑体"/>
          <w:b/>
          <w:sz w:val="24"/>
          <w:szCs w:val="24"/>
        </w:rPr>
      </w:pPr>
      <w:r>
        <w:rPr>
          <w:rFonts w:hint="eastAsia" w:ascii="黑体" w:hAnsi="黑体" w:eastAsia="黑体"/>
          <w:b/>
          <w:sz w:val="24"/>
          <w:szCs w:val="24"/>
        </w:rPr>
        <w:t>一</w:t>
      </w:r>
      <w:r>
        <w:rPr>
          <w:rFonts w:ascii="黑体" w:hAnsi="黑体" w:eastAsia="黑体"/>
          <w:b/>
          <w:sz w:val="24"/>
          <w:szCs w:val="24"/>
        </w:rPr>
        <w:t>、</w:t>
      </w:r>
      <w:r>
        <w:rPr>
          <w:rFonts w:hint="eastAsia" w:ascii="黑体" w:hAnsi="黑体" w:eastAsia="黑体"/>
          <w:b/>
          <w:sz w:val="24"/>
          <w:szCs w:val="24"/>
        </w:rPr>
        <w:t>招聘</w:t>
      </w:r>
      <w:r>
        <w:rPr>
          <w:rFonts w:ascii="黑体" w:hAnsi="黑体" w:eastAsia="黑体"/>
          <w:b/>
          <w:sz w:val="24"/>
          <w:szCs w:val="24"/>
        </w:rPr>
        <w:t>单位简介</w:t>
      </w:r>
    </w:p>
    <w:p>
      <w:pPr>
        <w:widowControl/>
        <w:tabs>
          <w:tab w:val="left" w:pos="640"/>
        </w:tabs>
        <w:spacing w:line="360" w:lineRule="auto"/>
        <w:ind w:right="-117" w:firstLine="480" w:firstLineChars="200"/>
        <w:jc w:val="left"/>
        <w:rPr>
          <w:rFonts w:ascii="仿宋_GB2312" w:eastAsia="仿宋_GB2312"/>
          <w:sz w:val="24"/>
          <w:szCs w:val="24"/>
        </w:rPr>
      </w:pPr>
      <w:r>
        <w:rPr>
          <w:rFonts w:hint="eastAsia" w:ascii="仿宋_GB2312" w:eastAsia="仿宋_GB2312"/>
          <w:sz w:val="24"/>
          <w:szCs w:val="24"/>
        </w:rPr>
        <w:t>镇海中学南浔分校是南浔区委</w:t>
      </w:r>
      <w:r>
        <w:rPr>
          <w:rFonts w:ascii="仿宋_GB2312" w:eastAsia="仿宋_GB2312"/>
          <w:sz w:val="24"/>
          <w:szCs w:val="24"/>
        </w:rPr>
        <w:t>区政府</w:t>
      </w:r>
      <w:r>
        <w:rPr>
          <w:rFonts w:hint="eastAsia" w:ascii="仿宋_GB2312" w:eastAsia="仿宋_GB2312"/>
          <w:sz w:val="24"/>
          <w:szCs w:val="24"/>
        </w:rPr>
        <w:t>、</w:t>
      </w:r>
      <w:r>
        <w:rPr>
          <w:rFonts w:ascii="仿宋_GB2312" w:eastAsia="仿宋_GB2312"/>
          <w:sz w:val="24"/>
          <w:szCs w:val="24"/>
        </w:rPr>
        <w:t>宁波市镇海中学</w:t>
      </w:r>
      <w:r>
        <w:rPr>
          <w:rFonts w:hint="eastAsia" w:ascii="仿宋_GB2312" w:eastAsia="仿宋_GB2312"/>
          <w:sz w:val="24"/>
          <w:szCs w:val="24"/>
        </w:rPr>
        <w:t>和</w:t>
      </w:r>
      <w:r>
        <w:rPr>
          <w:rFonts w:ascii="仿宋_GB2312" w:eastAsia="仿宋_GB2312"/>
          <w:sz w:val="24"/>
          <w:szCs w:val="24"/>
        </w:rPr>
        <w:t>浙江水利水电学院合作举办的公办全日制</w:t>
      </w:r>
      <w:bookmarkStart w:id="0" w:name="_GoBack"/>
      <w:bookmarkEnd w:id="0"/>
      <w:r>
        <w:rPr>
          <w:rFonts w:ascii="仿宋_GB2312" w:eastAsia="仿宋_GB2312"/>
          <w:sz w:val="24"/>
          <w:szCs w:val="24"/>
        </w:rPr>
        <w:t>中学</w:t>
      </w:r>
      <w:r>
        <w:rPr>
          <w:rFonts w:hint="eastAsia" w:ascii="仿宋_GB2312" w:eastAsia="仿宋_GB2312"/>
          <w:sz w:val="24"/>
          <w:szCs w:val="24"/>
        </w:rPr>
        <w:t>。</w:t>
      </w:r>
      <w:r>
        <w:rPr>
          <w:rFonts w:ascii="仿宋_GB2312" w:eastAsia="仿宋_GB2312"/>
          <w:sz w:val="24"/>
          <w:szCs w:val="24"/>
        </w:rPr>
        <w:t>学校位于南浔区高铁新城核心</w:t>
      </w:r>
      <w:r>
        <w:rPr>
          <w:rFonts w:hint="eastAsia" w:ascii="仿宋_GB2312" w:eastAsia="仿宋_GB2312"/>
          <w:sz w:val="24"/>
          <w:szCs w:val="24"/>
        </w:rPr>
        <w:t>地块</w:t>
      </w:r>
      <w:r>
        <w:rPr>
          <w:rFonts w:ascii="仿宋_GB2312" w:eastAsia="仿宋_GB2312"/>
          <w:sz w:val="24"/>
          <w:szCs w:val="24"/>
        </w:rPr>
        <w:t>，校园</w:t>
      </w:r>
      <w:r>
        <w:rPr>
          <w:rFonts w:hint="eastAsia" w:ascii="仿宋_GB2312" w:eastAsia="仿宋_GB2312"/>
          <w:sz w:val="24"/>
          <w:szCs w:val="24"/>
        </w:rPr>
        <w:t>占地面积约130亩，</w:t>
      </w:r>
      <w:r>
        <w:rPr>
          <w:rFonts w:ascii="仿宋_GB2312" w:eastAsia="仿宋_GB2312"/>
          <w:sz w:val="24"/>
          <w:szCs w:val="24"/>
        </w:rPr>
        <w:t>于</w:t>
      </w:r>
      <w:r>
        <w:rPr>
          <w:rFonts w:hint="eastAsia" w:ascii="仿宋_GB2312" w:eastAsia="仿宋_GB2312"/>
          <w:sz w:val="24"/>
          <w:szCs w:val="24"/>
        </w:rPr>
        <w:t>2022年秋季开学。校园计划</w:t>
      </w:r>
      <w:r>
        <w:rPr>
          <w:rFonts w:ascii="仿宋_GB2312" w:eastAsia="仿宋_GB2312"/>
          <w:sz w:val="24"/>
          <w:szCs w:val="24"/>
        </w:rPr>
        <w:t>投入</w:t>
      </w:r>
      <w:r>
        <w:rPr>
          <w:rFonts w:hint="eastAsia" w:ascii="仿宋_GB2312" w:eastAsia="仿宋_GB2312"/>
          <w:sz w:val="24"/>
          <w:szCs w:val="24"/>
        </w:rPr>
        <w:t>6亿</w:t>
      </w:r>
      <w:r>
        <w:rPr>
          <w:rFonts w:ascii="仿宋_GB2312" w:eastAsia="仿宋_GB2312"/>
          <w:sz w:val="24"/>
          <w:szCs w:val="24"/>
        </w:rPr>
        <w:t>多</w:t>
      </w:r>
      <w:r>
        <w:rPr>
          <w:rFonts w:hint="eastAsia" w:ascii="仿宋_GB2312" w:eastAsia="仿宋_GB2312"/>
          <w:sz w:val="24"/>
          <w:szCs w:val="24"/>
        </w:rPr>
        <w:t>人民币</w:t>
      </w:r>
      <w:r>
        <w:rPr>
          <w:rFonts w:ascii="仿宋_GB2312" w:eastAsia="仿宋_GB2312"/>
          <w:sz w:val="24"/>
          <w:szCs w:val="24"/>
        </w:rPr>
        <w:t>，</w:t>
      </w:r>
      <w:r>
        <w:rPr>
          <w:rFonts w:hint="eastAsia" w:ascii="仿宋_GB2312" w:eastAsia="仿宋_GB2312"/>
          <w:sz w:val="24"/>
          <w:szCs w:val="24"/>
        </w:rPr>
        <w:t>建有设备先进、功能齐全的各类活动场馆、专用教室和</w:t>
      </w:r>
      <w:r>
        <w:rPr>
          <w:rFonts w:ascii="仿宋_GB2312" w:eastAsia="仿宋_GB2312"/>
          <w:sz w:val="24"/>
          <w:szCs w:val="24"/>
        </w:rPr>
        <w:t>师生生活设施</w:t>
      </w:r>
      <w:r>
        <w:rPr>
          <w:rFonts w:hint="eastAsia" w:ascii="仿宋_GB2312" w:eastAsia="仿宋_GB2312"/>
          <w:sz w:val="24"/>
          <w:szCs w:val="24"/>
        </w:rPr>
        <w:t>，水榭亭台布局井然，环境氛围沉静博雅，利于师生静心</w:t>
      </w:r>
      <w:r>
        <w:rPr>
          <w:rFonts w:ascii="仿宋_GB2312" w:eastAsia="仿宋_GB2312"/>
          <w:sz w:val="24"/>
          <w:szCs w:val="24"/>
        </w:rPr>
        <w:t>、舒心工作和学习</w:t>
      </w:r>
      <w:r>
        <w:rPr>
          <w:rFonts w:hint="eastAsia" w:ascii="仿宋_GB2312" w:eastAsia="仿宋_GB2312"/>
          <w:sz w:val="24"/>
          <w:szCs w:val="24"/>
        </w:rPr>
        <w:t>。</w:t>
      </w:r>
    </w:p>
    <w:p>
      <w:pPr>
        <w:pStyle w:val="5"/>
        <w:shd w:val="clear" w:color="auto" w:fill="FEFFFF"/>
        <w:spacing w:before="0" w:beforeAutospacing="0" w:after="0" w:afterAutospacing="0" w:line="360" w:lineRule="auto"/>
        <w:ind w:firstLine="482" w:firstLineChars="200"/>
        <w:rPr>
          <w:rFonts w:ascii="黑体" w:hAnsi="黑体" w:eastAsia="黑体" w:cstheme="minorBidi"/>
          <w:b/>
          <w:kern w:val="2"/>
        </w:rPr>
      </w:pPr>
      <w:r>
        <w:rPr>
          <w:rFonts w:hint="eastAsia" w:ascii="黑体" w:hAnsi="黑体" w:eastAsia="黑体" w:cstheme="minorBidi"/>
          <w:b/>
          <w:kern w:val="2"/>
        </w:rPr>
        <w:t>二</w:t>
      </w:r>
      <w:r>
        <w:rPr>
          <w:rFonts w:ascii="黑体" w:hAnsi="黑体" w:eastAsia="黑体" w:cstheme="minorBidi"/>
          <w:b/>
          <w:kern w:val="2"/>
        </w:rPr>
        <w:t>、招聘原则和办法</w:t>
      </w:r>
    </w:p>
    <w:p>
      <w:pPr>
        <w:pStyle w:val="5"/>
        <w:shd w:val="clear" w:color="auto" w:fill="FEFFFF"/>
        <w:spacing w:before="0" w:beforeAutospacing="0" w:after="0" w:afterAutospacing="0" w:line="360" w:lineRule="auto"/>
        <w:ind w:firstLine="420"/>
        <w:jc w:val="both"/>
        <w:rPr>
          <w:rFonts w:ascii="仿宋_GB2312" w:eastAsia="仿宋_GB2312" w:hAnsiTheme="minorHAnsi" w:cstheme="minorBidi"/>
          <w:kern w:val="2"/>
        </w:rPr>
      </w:pPr>
      <w:r>
        <w:rPr>
          <w:rFonts w:hint="eastAsia" w:ascii="仿宋_GB2312" w:eastAsia="仿宋_GB2312" w:hAnsiTheme="minorHAnsi" w:cstheme="minorBidi"/>
          <w:kern w:val="2"/>
        </w:rPr>
        <w:t>招聘工作坚持公开、平等、竞争、择优原则，按照德才兼备的用人标准，通过公开报名、综合能力测试、教育教学能力测试、体检和考察等程序进行，择优聘用。</w:t>
      </w:r>
    </w:p>
    <w:p>
      <w:pPr>
        <w:spacing w:line="360" w:lineRule="auto"/>
        <w:ind w:firstLine="482" w:firstLineChars="200"/>
        <w:rPr>
          <w:rFonts w:ascii="黑体" w:hAnsi="黑体" w:eastAsia="黑体"/>
          <w:b/>
          <w:sz w:val="24"/>
          <w:szCs w:val="24"/>
        </w:rPr>
      </w:pPr>
      <w:r>
        <w:rPr>
          <w:rFonts w:hint="eastAsia" w:ascii="黑体" w:hAnsi="黑体" w:eastAsia="黑体"/>
          <w:b/>
          <w:sz w:val="24"/>
          <w:szCs w:val="24"/>
        </w:rPr>
        <w:t>三</w:t>
      </w:r>
      <w:r>
        <w:rPr>
          <w:rFonts w:ascii="黑体" w:hAnsi="黑体" w:eastAsia="黑体"/>
          <w:b/>
          <w:sz w:val="24"/>
          <w:szCs w:val="24"/>
        </w:rPr>
        <w:t>、</w:t>
      </w:r>
      <w:r>
        <w:rPr>
          <w:rFonts w:hint="eastAsia" w:ascii="黑体" w:hAnsi="黑体" w:eastAsia="黑体"/>
          <w:b/>
          <w:sz w:val="24"/>
          <w:szCs w:val="24"/>
        </w:rPr>
        <w:t>招聘岗位、</w:t>
      </w:r>
      <w:r>
        <w:rPr>
          <w:rFonts w:ascii="黑体" w:hAnsi="黑体" w:eastAsia="黑体"/>
          <w:b/>
          <w:sz w:val="24"/>
          <w:szCs w:val="24"/>
        </w:rPr>
        <w:t>人数</w:t>
      </w:r>
    </w:p>
    <w:tbl>
      <w:tblPr>
        <w:tblStyle w:val="7"/>
        <w:tblW w:w="80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993"/>
        <w:gridCol w:w="992"/>
        <w:gridCol w:w="850"/>
        <w:gridCol w:w="1276"/>
        <w:gridCol w:w="1276"/>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pStyle w:val="5"/>
              <w:spacing w:before="0" w:beforeAutospacing="0" w:after="0" w:afterAutospacing="0" w:line="360" w:lineRule="auto"/>
              <w:jc w:val="center"/>
              <w:rPr>
                <w:rFonts w:ascii="仿宋_GB2312" w:eastAsia="仿宋_GB2312" w:hAnsiTheme="minorHAnsi" w:cstheme="minorBidi"/>
                <w:kern w:val="2"/>
              </w:rPr>
            </w:pPr>
            <w:r>
              <w:rPr>
                <w:rFonts w:hint="eastAsia" w:ascii="仿宋_GB2312" w:eastAsia="仿宋_GB2312" w:hAnsiTheme="minorHAnsi" w:cstheme="minorBidi"/>
                <w:kern w:val="2"/>
              </w:rPr>
              <w:t xml:space="preserve">学 </w:t>
            </w:r>
            <w:r>
              <w:rPr>
                <w:rFonts w:ascii="仿宋_GB2312" w:eastAsia="仿宋_GB2312" w:hAnsiTheme="minorHAnsi" w:cstheme="minorBidi"/>
                <w:kern w:val="2"/>
              </w:rPr>
              <w:t xml:space="preserve"> </w:t>
            </w:r>
            <w:r>
              <w:rPr>
                <w:rFonts w:hint="eastAsia" w:ascii="仿宋_GB2312" w:eastAsia="仿宋_GB2312" w:hAnsiTheme="minorHAnsi" w:cstheme="minorBidi"/>
                <w:kern w:val="2"/>
              </w:rPr>
              <w:t>科</w:t>
            </w:r>
          </w:p>
        </w:tc>
        <w:tc>
          <w:tcPr>
            <w:tcW w:w="993" w:type="dxa"/>
          </w:tcPr>
          <w:p>
            <w:pPr>
              <w:pStyle w:val="5"/>
              <w:spacing w:before="0" w:beforeAutospacing="0" w:after="0" w:afterAutospacing="0" w:line="360" w:lineRule="auto"/>
              <w:jc w:val="center"/>
              <w:rPr>
                <w:rFonts w:ascii="仿宋_GB2312" w:eastAsia="仿宋_GB2312" w:hAnsiTheme="minorHAnsi" w:cstheme="minorBidi"/>
                <w:kern w:val="2"/>
              </w:rPr>
            </w:pPr>
            <w:r>
              <w:rPr>
                <w:rFonts w:ascii="仿宋_GB2312" w:eastAsia="仿宋_GB2312" w:hAnsiTheme="minorHAnsi" w:cstheme="minorBidi"/>
                <w:kern w:val="2"/>
              </w:rPr>
              <w:t>语</w:t>
            </w:r>
            <w:r>
              <w:rPr>
                <w:rFonts w:hint="eastAsia" w:ascii="仿宋_GB2312" w:eastAsia="仿宋_GB2312" w:hAnsiTheme="minorHAnsi" w:cstheme="minorBidi"/>
                <w:kern w:val="2"/>
              </w:rPr>
              <w:t xml:space="preserve"> </w:t>
            </w:r>
            <w:r>
              <w:rPr>
                <w:rFonts w:ascii="仿宋_GB2312" w:eastAsia="仿宋_GB2312" w:hAnsiTheme="minorHAnsi" w:cstheme="minorBidi"/>
                <w:kern w:val="2"/>
              </w:rPr>
              <w:t xml:space="preserve"> 文</w:t>
            </w:r>
          </w:p>
        </w:tc>
        <w:tc>
          <w:tcPr>
            <w:tcW w:w="992" w:type="dxa"/>
          </w:tcPr>
          <w:p>
            <w:pPr>
              <w:pStyle w:val="5"/>
              <w:spacing w:before="0" w:beforeAutospacing="0" w:after="0" w:afterAutospacing="0" w:line="360" w:lineRule="auto"/>
              <w:jc w:val="center"/>
              <w:rPr>
                <w:rFonts w:ascii="仿宋_GB2312" w:eastAsia="仿宋_GB2312" w:hAnsiTheme="minorHAnsi" w:cstheme="minorBidi"/>
                <w:kern w:val="2"/>
              </w:rPr>
            </w:pPr>
            <w:r>
              <w:rPr>
                <w:rFonts w:ascii="仿宋_GB2312" w:eastAsia="仿宋_GB2312" w:hAnsiTheme="minorHAnsi" w:cstheme="minorBidi"/>
                <w:kern w:val="2"/>
              </w:rPr>
              <w:t>数</w:t>
            </w:r>
            <w:r>
              <w:rPr>
                <w:rFonts w:hint="eastAsia" w:ascii="仿宋_GB2312" w:eastAsia="仿宋_GB2312" w:hAnsiTheme="minorHAnsi" w:cstheme="minorBidi"/>
                <w:kern w:val="2"/>
              </w:rPr>
              <w:t xml:space="preserve">  </w:t>
            </w:r>
            <w:r>
              <w:rPr>
                <w:rFonts w:ascii="仿宋_GB2312" w:eastAsia="仿宋_GB2312" w:hAnsiTheme="minorHAnsi" w:cstheme="minorBidi"/>
                <w:kern w:val="2"/>
              </w:rPr>
              <w:t>学</w:t>
            </w:r>
          </w:p>
        </w:tc>
        <w:tc>
          <w:tcPr>
            <w:tcW w:w="850" w:type="dxa"/>
          </w:tcPr>
          <w:p>
            <w:pPr>
              <w:pStyle w:val="5"/>
              <w:spacing w:before="0" w:beforeAutospacing="0" w:after="0" w:afterAutospacing="0" w:line="360" w:lineRule="auto"/>
              <w:jc w:val="center"/>
              <w:rPr>
                <w:rFonts w:ascii="仿宋_GB2312" w:eastAsia="仿宋_GB2312" w:hAnsiTheme="minorHAnsi" w:cstheme="minorBidi"/>
                <w:kern w:val="2"/>
              </w:rPr>
            </w:pPr>
            <w:r>
              <w:rPr>
                <w:rFonts w:ascii="仿宋_GB2312" w:eastAsia="仿宋_GB2312" w:hAnsiTheme="minorHAnsi" w:cstheme="minorBidi"/>
                <w:kern w:val="2"/>
              </w:rPr>
              <w:t>英</w:t>
            </w:r>
            <w:r>
              <w:rPr>
                <w:rFonts w:hint="eastAsia" w:ascii="仿宋_GB2312" w:eastAsia="仿宋_GB2312" w:hAnsiTheme="minorHAnsi" w:cstheme="minorBidi"/>
                <w:kern w:val="2"/>
              </w:rPr>
              <w:t xml:space="preserve"> </w:t>
            </w:r>
            <w:r>
              <w:rPr>
                <w:rFonts w:ascii="仿宋_GB2312" w:eastAsia="仿宋_GB2312" w:hAnsiTheme="minorHAnsi" w:cstheme="minorBidi"/>
                <w:kern w:val="2"/>
              </w:rPr>
              <w:t>语</w:t>
            </w:r>
          </w:p>
        </w:tc>
        <w:tc>
          <w:tcPr>
            <w:tcW w:w="1276" w:type="dxa"/>
          </w:tcPr>
          <w:p>
            <w:pPr>
              <w:pStyle w:val="5"/>
              <w:spacing w:before="0" w:beforeAutospacing="0" w:after="0" w:afterAutospacing="0" w:line="360" w:lineRule="auto"/>
              <w:jc w:val="center"/>
              <w:rPr>
                <w:rFonts w:ascii="仿宋_GB2312" w:eastAsia="仿宋_GB2312" w:hAnsiTheme="minorHAnsi" w:cstheme="minorBidi"/>
                <w:kern w:val="2"/>
              </w:rPr>
            </w:pPr>
            <w:r>
              <w:rPr>
                <w:rFonts w:ascii="仿宋_GB2312" w:eastAsia="仿宋_GB2312" w:hAnsiTheme="minorHAnsi" w:cstheme="minorBidi"/>
                <w:kern w:val="2"/>
              </w:rPr>
              <w:t>科</w:t>
            </w:r>
            <w:r>
              <w:rPr>
                <w:rFonts w:hint="eastAsia" w:ascii="仿宋_GB2312" w:eastAsia="仿宋_GB2312" w:hAnsiTheme="minorHAnsi" w:cstheme="minorBidi"/>
                <w:kern w:val="2"/>
              </w:rPr>
              <w:t xml:space="preserve"> </w:t>
            </w:r>
            <w:r>
              <w:rPr>
                <w:rFonts w:ascii="仿宋_GB2312" w:eastAsia="仿宋_GB2312" w:hAnsiTheme="minorHAnsi" w:cstheme="minorBidi"/>
                <w:kern w:val="2"/>
              </w:rPr>
              <w:t xml:space="preserve"> 学</w:t>
            </w:r>
          </w:p>
        </w:tc>
        <w:tc>
          <w:tcPr>
            <w:tcW w:w="1276" w:type="dxa"/>
          </w:tcPr>
          <w:p>
            <w:pPr>
              <w:pStyle w:val="5"/>
              <w:spacing w:before="0" w:beforeAutospacing="0" w:after="0" w:afterAutospacing="0" w:line="360" w:lineRule="auto"/>
              <w:jc w:val="center"/>
              <w:rPr>
                <w:rFonts w:ascii="仿宋_GB2312" w:eastAsia="仿宋_GB2312" w:hAnsiTheme="minorHAnsi" w:cstheme="minorBidi"/>
                <w:kern w:val="2"/>
              </w:rPr>
            </w:pPr>
            <w:r>
              <w:rPr>
                <w:rFonts w:ascii="仿宋_GB2312" w:eastAsia="仿宋_GB2312" w:hAnsiTheme="minorHAnsi" w:cstheme="minorBidi"/>
                <w:kern w:val="2"/>
              </w:rPr>
              <w:t>社</w:t>
            </w:r>
            <w:r>
              <w:rPr>
                <w:rFonts w:hint="eastAsia" w:ascii="仿宋_GB2312" w:eastAsia="仿宋_GB2312" w:hAnsiTheme="minorHAnsi" w:cstheme="minorBidi"/>
                <w:kern w:val="2"/>
              </w:rPr>
              <w:t xml:space="preserve">   </w:t>
            </w:r>
            <w:r>
              <w:rPr>
                <w:rFonts w:ascii="仿宋_GB2312" w:eastAsia="仿宋_GB2312" w:hAnsiTheme="minorHAnsi" w:cstheme="minorBidi"/>
                <w:kern w:val="2"/>
              </w:rPr>
              <w:t>会</w:t>
            </w:r>
          </w:p>
        </w:tc>
        <w:tc>
          <w:tcPr>
            <w:tcW w:w="1417" w:type="dxa"/>
          </w:tcPr>
          <w:p>
            <w:pPr>
              <w:pStyle w:val="5"/>
              <w:spacing w:before="0" w:beforeAutospacing="0" w:after="0" w:afterAutospacing="0" w:line="360" w:lineRule="auto"/>
              <w:jc w:val="center"/>
              <w:rPr>
                <w:rFonts w:ascii="仿宋_GB2312" w:eastAsia="仿宋_GB2312" w:hAnsiTheme="minorHAnsi" w:cstheme="minorBidi"/>
                <w:kern w:val="2"/>
              </w:rPr>
            </w:pPr>
            <w:r>
              <w:rPr>
                <w:rFonts w:ascii="仿宋_GB2312" w:eastAsia="仿宋_GB2312" w:hAnsiTheme="minorHAnsi" w:cstheme="minorBidi"/>
                <w:kern w:val="2"/>
              </w:rPr>
              <w:t>道德与法治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pStyle w:val="5"/>
              <w:spacing w:before="0" w:beforeAutospacing="0" w:after="0" w:afterAutospacing="0" w:line="360" w:lineRule="auto"/>
              <w:jc w:val="center"/>
              <w:rPr>
                <w:rFonts w:ascii="仿宋_GB2312" w:eastAsia="仿宋_GB2312" w:hAnsiTheme="minorHAnsi" w:cstheme="minorBidi"/>
                <w:kern w:val="2"/>
              </w:rPr>
            </w:pPr>
            <w:r>
              <w:rPr>
                <w:rFonts w:hint="eastAsia" w:ascii="仿宋_GB2312" w:eastAsia="仿宋_GB2312" w:hAnsiTheme="minorHAnsi" w:cstheme="minorBidi"/>
                <w:kern w:val="2"/>
              </w:rPr>
              <w:t>计划数</w:t>
            </w:r>
          </w:p>
        </w:tc>
        <w:tc>
          <w:tcPr>
            <w:tcW w:w="993" w:type="dxa"/>
          </w:tcPr>
          <w:p>
            <w:pPr>
              <w:pStyle w:val="5"/>
              <w:spacing w:before="0" w:beforeAutospacing="0" w:after="0" w:afterAutospacing="0" w:line="360" w:lineRule="auto"/>
              <w:jc w:val="center"/>
              <w:rPr>
                <w:rFonts w:ascii="仿宋_GB2312" w:eastAsia="仿宋_GB2312" w:hAnsiTheme="minorHAnsi" w:cstheme="minorBidi"/>
                <w:kern w:val="2"/>
              </w:rPr>
            </w:pPr>
            <w:r>
              <w:rPr>
                <w:rFonts w:hint="eastAsia" w:ascii="仿宋_GB2312" w:eastAsia="仿宋_GB2312" w:hAnsiTheme="minorHAnsi" w:cstheme="minorBidi"/>
                <w:kern w:val="2"/>
              </w:rPr>
              <w:t>4</w:t>
            </w:r>
          </w:p>
        </w:tc>
        <w:tc>
          <w:tcPr>
            <w:tcW w:w="992" w:type="dxa"/>
          </w:tcPr>
          <w:p>
            <w:pPr>
              <w:spacing w:line="360" w:lineRule="auto"/>
              <w:jc w:val="center"/>
              <w:rPr>
                <w:rFonts w:ascii="仿宋_GB2312" w:eastAsia="仿宋_GB2312"/>
                <w:sz w:val="24"/>
                <w:szCs w:val="24"/>
              </w:rPr>
            </w:pPr>
            <w:r>
              <w:rPr>
                <w:rFonts w:hint="eastAsia" w:ascii="仿宋_GB2312" w:eastAsia="仿宋_GB2312"/>
                <w:sz w:val="24"/>
                <w:szCs w:val="24"/>
              </w:rPr>
              <w:t>4</w:t>
            </w:r>
          </w:p>
        </w:tc>
        <w:tc>
          <w:tcPr>
            <w:tcW w:w="850" w:type="dxa"/>
          </w:tcPr>
          <w:p>
            <w:pPr>
              <w:spacing w:line="360" w:lineRule="auto"/>
              <w:jc w:val="center"/>
              <w:rPr>
                <w:rFonts w:ascii="仿宋_GB2312" w:eastAsia="仿宋_GB2312"/>
                <w:sz w:val="24"/>
                <w:szCs w:val="24"/>
              </w:rPr>
            </w:pPr>
            <w:r>
              <w:rPr>
                <w:rFonts w:hint="eastAsia" w:ascii="仿宋_GB2312" w:eastAsia="仿宋_GB2312"/>
                <w:sz w:val="24"/>
                <w:szCs w:val="24"/>
              </w:rPr>
              <w:t>4</w:t>
            </w:r>
          </w:p>
        </w:tc>
        <w:tc>
          <w:tcPr>
            <w:tcW w:w="1276" w:type="dxa"/>
          </w:tcPr>
          <w:p>
            <w:pPr>
              <w:spacing w:line="360" w:lineRule="auto"/>
              <w:jc w:val="center"/>
              <w:rPr>
                <w:rFonts w:ascii="仿宋_GB2312" w:eastAsia="仿宋_GB2312"/>
                <w:sz w:val="24"/>
                <w:szCs w:val="24"/>
              </w:rPr>
            </w:pPr>
            <w:r>
              <w:rPr>
                <w:rFonts w:hint="eastAsia" w:ascii="仿宋_GB2312" w:eastAsia="仿宋_GB2312"/>
                <w:sz w:val="24"/>
                <w:szCs w:val="24"/>
              </w:rPr>
              <w:t>4</w:t>
            </w:r>
          </w:p>
        </w:tc>
        <w:tc>
          <w:tcPr>
            <w:tcW w:w="1276" w:type="dxa"/>
          </w:tcPr>
          <w:p>
            <w:pPr>
              <w:spacing w:line="360" w:lineRule="auto"/>
              <w:jc w:val="center"/>
              <w:rPr>
                <w:rFonts w:ascii="仿宋_GB2312" w:eastAsia="仿宋_GB2312"/>
                <w:sz w:val="24"/>
                <w:szCs w:val="24"/>
              </w:rPr>
            </w:pPr>
            <w:r>
              <w:rPr>
                <w:rFonts w:hint="eastAsia" w:ascii="仿宋_GB2312" w:eastAsia="仿宋_GB2312"/>
                <w:sz w:val="24"/>
                <w:szCs w:val="24"/>
              </w:rPr>
              <w:t>2</w:t>
            </w:r>
          </w:p>
        </w:tc>
        <w:tc>
          <w:tcPr>
            <w:tcW w:w="1417" w:type="dxa"/>
          </w:tcPr>
          <w:p>
            <w:pPr>
              <w:spacing w:line="360" w:lineRule="auto"/>
              <w:jc w:val="center"/>
              <w:rPr>
                <w:rFonts w:ascii="仿宋_GB2312" w:eastAsia="仿宋_GB2312"/>
                <w:sz w:val="24"/>
                <w:szCs w:val="24"/>
              </w:rPr>
            </w:pPr>
            <w:r>
              <w:rPr>
                <w:rFonts w:hint="eastAsia" w:ascii="仿宋_GB2312" w:eastAsia="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pStyle w:val="5"/>
              <w:spacing w:before="0" w:beforeAutospacing="0" w:after="0" w:afterAutospacing="0" w:line="360" w:lineRule="auto"/>
              <w:jc w:val="center"/>
              <w:rPr>
                <w:rFonts w:ascii="仿宋_GB2312" w:eastAsia="仿宋_GB2312" w:hAnsiTheme="minorHAnsi" w:cstheme="minorBidi"/>
                <w:kern w:val="2"/>
              </w:rPr>
            </w:pPr>
            <w:r>
              <w:rPr>
                <w:rFonts w:hint="eastAsia" w:ascii="仿宋_GB2312" w:eastAsia="仿宋_GB2312" w:hAnsiTheme="minorHAnsi" w:cstheme="minorBidi"/>
                <w:kern w:val="2"/>
              </w:rPr>
              <w:t xml:space="preserve">学 </w:t>
            </w:r>
            <w:r>
              <w:rPr>
                <w:rFonts w:ascii="仿宋_GB2312" w:eastAsia="仿宋_GB2312" w:hAnsiTheme="minorHAnsi" w:cstheme="minorBidi"/>
                <w:kern w:val="2"/>
              </w:rPr>
              <w:t xml:space="preserve"> </w:t>
            </w:r>
            <w:r>
              <w:rPr>
                <w:rFonts w:hint="eastAsia" w:ascii="仿宋_GB2312" w:eastAsia="仿宋_GB2312" w:hAnsiTheme="minorHAnsi" w:cstheme="minorBidi"/>
                <w:kern w:val="2"/>
              </w:rPr>
              <w:t>科</w:t>
            </w:r>
          </w:p>
        </w:tc>
        <w:tc>
          <w:tcPr>
            <w:tcW w:w="993" w:type="dxa"/>
          </w:tcPr>
          <w:p>
            <w:pPr>
              <w:pStyle w:val="5"/>
              <w:spacing w:before="0" w:beforeAutospacing="0" w:after="0" w:afterAutospacing="0" w:line="360" w:lineRule="auto"/>
              <w:jc w:val="center"/>
              <w:rPr>
                <w:rFonts w:ascii="仿宋_GB2312" w:eastAsia="仿宋_GB2312" w:hAnsiTheme="minorHAnsi" w:cstheme="minorBidi"/>
                <w:kern w:val="2"/>
              </w:rPr>
            </w:pPr>
            <w:r>
              <w:rPr>
                <w:rFonts w:hint="eastAsia" w:ascii="仿宋_GB2312" w:eastAsia="仿宋_GB2312" w:hAnsiTheme="minorHAnsi" w:cstheme="minorBidi"/>
                <w:kern w:val="2"/>
              </w:rPr>
              <w:t>体  育</w:t>
            </w:r>
          </w:p>
        </w:tc>
        <w:tc>
          <w:tcPr>
            <w:tcW w:w="992" w:type="dxa"/>
          </w:tcPr>
          <w:p>
            <w:pPr>
              <w:pStyle w:val="5"/>
              <w:spacing w:before="0" w:beforeAutospacing="0" w:after="0" w:afterAutospacing="0" w:line="360" w:lineRule="auto"/>
              <w:jc w:val="center"/>
              <w:rPr>
                <w:rFonts w:ascii="仿宋_GB2312" w:eastAsia="仿宋_GB2312" w:hAnsiTheme="minorHAnsi" w:cstheme="minorBidi"/>
                <w:kern w:val="2"/>
              </w:rPr>
            </w:pPr>
            <w:r>
              <w:rPr>
                <w:rFonts w:hint="eastAsia" w:ascii="仿宋_GB2312" w:eastAsia="仿宋_GB2312" w:hAnsiTheme="minorHAnsi" w:cstheme="minorBidi"/>
                <w:kern w:val="2"/>
              </w:rPr>
              <w:t>音  乐</w:t>
            </w:r>
          </w:p>
        </w:tc>
        <w:tc>
          <w:tcPr>
            <w:tcW w:w="850" w:type="dxa"/>
          </w:tcPr>
          <w:p>
            <w:pPr>
              <w:pStyle w:val="5"/>
              <w:spacing w:before="0" w:beforeAutospacing="0" w:after="0" w:afterAutospacing="0" w:line="360" w:lineRule="auto"/>
              <w:jc w:val="center"/>
              <w:rPr>
                <w:rFonts w:ascii="仿宋_GB2312" w:eastAsia="仿宋_GB2312" w:hAnsiTheme="minorHAnsi" w:cstheme="minorBidi"/>
                <w:kern w:val="2"/>
              </w:rPr>
            </w:pPr>
            <w:r>
              <w:rPr>
                <w:rFonts w:hint="eastAsia" w:ascii="仿宋_GB2312" w:eastAsia="仿宋_GB2312" w:hAnsiTheme="minorHAnsi" w:cstheme="minorBidi"/>
                <w:kern w:val="2"/>
              </w:rPr>
              <w:t>美 术</w:t>
            </w:r>
          </w:p>
        </w:tc>
        <w:tc>
          <w:tcPr>
            <w:tcW w:w="1276" w:type="dxa"/>
          </w:tcPr>
          <w:p>
            <w:pPr>
              <w:spacing w:line="360" w:lineRule="auto"/>
              <w:rPr>
                <w:rFonts w:ascii="仿宋_GB2312" w:eastAsia="仿宋_GB2312"/>
                <w:sz w:val="24"/>
                <w:szCs w:val="24"/>
              </w:rPr>
            </w:pPr>
            <w:r>
              <w:rPr>
                <w:rFonts w:hint="eastAsia" w:ascii="仿宋_GB2312" w:eastAsia="仿宋_GB2312"/>
                <w:sz w:val="24"/>
                <w:szCs w:val="24"/>
              </w:rPr>
              <w:t>信息</w:t>
            </w:r>
            <w:r>
              <w:rPr>
                <w:rFonts w:ascii="仿宋_GB2312" w:eastAsia="仿宋_GB2312"/>
                <w:sz w:val="24"/>
                <w:szCs w:val="24"/>
              </w:rPr>
              <w:t>技术</w:t>
            </w:r>
          </w:p>
        </w:tc>
        <w:tc>
          <w:tcPr>
            <w:tcW w:w="1276" w:type="dxa"/>
          </w:tcPr>
          <w:p>
            <w:pPr>
              <w:spacing w:line="360" w:lineRule="auto"/>
              <w:jc w:val="center"/>
              <w:rPr>
                <w:rFonts w:ascii="仿宋_GB2312" w:eastAsia="仿宋_GB2312"/>
                <w:sz w:val="24"/>
                <w:szCs w:val="24"/>
              </w:rPr>
            </w:pPr>
          </w:p>
        </w:tc>
        <w:tc>
          <w:tcPr>
            <w:tcW w:w="1417" w:type="dxa"/>
          </w:tcPr>
          <w:p>
            <w:pPr>
              <w:spacing w:line="360" w:lineRule="auto"/>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pStyle w:val="5"/>
              <w:spacing w:before="0" w:beforeAutospacing="0" w:after="0" w:afterAutospacing="0" w:line="360" w:lineRule="auto"/>
              <w:jc w:val="center"/>
              <w:rPr>
                <w:rFonts w:ascii="仿宋_GB2312" w:eastAsia="仿宋_GB2312" w:hAnsiTheme="minorHAnsi" w:cstheme="minorBidi"/>
                <w:kern w:val="2"/>
              </w:rPr>
            </w:pPr>
            <w:r>
              <w:rPr>
                <w:rFonts w:hint="eastAsia" w:ascii="仿宋_GB2312" w:eastAsia="仿宋_GB2312" w:hAnsiTheme="minorHAnsi" w:cstheme="minorBidi"/>
                <w:kern w:val="2"/>
              </w:rPr>
              <w:t>计划数</w:t>
            </w:r>
          </w:p>
        </w:tc>
        <w:tc>
          <w:tcPr>
            <w:tcW w:w="993" w:type="dxa"/>
          </w:tcPr>
          <w:p>
            <w:pPr>
              <w:pStyle w:val="5"/>
              <w:spacing w:before="0" w:beforeAutospacing="0" w:after="0" w:afterAutospacing="0" w:line="360" w:lineRule="auto"/>
              <w:jc w:val="center"/>
              <w:rPr>
                <w:rFonts w:ascii="仿宋_GB2312" w:eastAsia="仿宋_GB2312" w:hAnsiTheme="minorHAnsi" w:cstheme="minorBidi"/>
                <w:kern w:val="2"/>
              </w:rPr>
            </w:pPr>
            <w:r>
              <w:rPr>
                <w:rFonts w:hint="eastAsia" w:ascii="仿宋_GB2312" w:eastAsia="仿宋_GB2312" w:hAnsiTheme="minorHAnsi" w:cstheme="minorBidi"/>
                <w:kern w:val="2"/>
              </w:rPr>
              <w:t>1</w:t>
            </w:r>
          </w:p>
        </w:tc>
        <w:tc>
          <w:tcPr>
            <w:tcW w:w="992" w:type="dxa"/>
          </w:tcPr>
          <w:p>
            <w:pPr>
              <w:spacing w:line="360" w:lineRule="auto"/>
              <w:jc w:val="center"/>
              <w:rPr>
                <w:rFonts w:ascii="仿宋_GB2312" w:eastAsia="仿宋_GB2312"/>
                <w:sz w:val="24"/>
                <w:szCs w:val="24"/>
              </w:rPr>
            </w:pPr>
            <w:r>
              <w:rPr>
                <w:rFonts w:hint="eastAsia" w:ascii="仿宋_GB2312" w:eastAsia="仿宋_GB2312"/>
                <w:sz w:val="24"/>
                <w:szCs w:val="24"/>
              </w:rPr>
              <w:t>1</w:t>
            </w:r>
          </w:p>
        </w:tc>
        <w:tc>
          <w:tcPr>
            <w:tcW w:w="850" w:type="dxa"/>
          </w:tcPr>
          <w:p>
            <w:pPr>
              <w:spacing w:line="360" w:lineRule="auto"/>
              <w:jc w:val="center"/>
              <w:rPr>
                <w:rFonts w:ascii="仿宋_GB2312" w:eastAsia="仿宋_GB2312"/>
                <w:sz w:val="24"/>
                <w:szCs w:val="24"/>
              </w:rPr>
            </w:pPr>
            <w:r>
              <w:rPr>
                <w:rFonts w:hint="eastAsia" w:ascii="仿宋_GB2312" w:eastAsia="仿宋_GB2312"/>
                <w:sz w:val="24"/>
                <w:szCs w:val="24"/>
              </w:rPr>
              <w:t>1</w:t>
            </w:r>
          </w:p>
        </w:tc>
        <w:tc>
          <w:tcPr>
            <w:tcW w:w="1276" w:type="dxa"/>
          </w:tcPr>
          <w:p>
            <w:pPr>
              <w:spacing w:line="360" w:lineRule="auto"/>
              <w:jc w:val="center"/>
              <w:rPr>
                <w:rFonts w:ascii="仿宋_GB2312" w:eastAsia="仿宋_GB2312"/>
                <w:sz w:val="24"/>
                <w:szCs w:val="24"/>
              </w:rPr>
            </w:pPr>
            <w:r>
              <w:rPr>
                <w:rFonts w:hint="eastAsia" w:ascii="仿宋_GB2312" w:eastAsia="仿宋_GB2312"/>
                <w:sz w:val="24"/>
                <w:szCs w:val="24"/>
              </w:rPr>
              <w:t>2</w:t>
            </w:r>
          </w:p>
        </w:tc>
        <w:tc>
          <w:tcPr>
            <w:tcW w:w="1276" w:type="dxa"/>
          </w:tcPr>
          <w:p>
            <w:pPr>
              <w:spacing w:line="360" w:lineRule="auto"/>
              <w:jc w:val="center"/>
              <w:rPr>
                <w:rFonts w:ascii="仿宋_GB2312" w:eastAsia="仿宋_GB2312"/>
                <w:sz w:val="24"/>
                <w:szCs w:val="24"/>
              </w:rPr>
            </w:pPr>
          </w:p>
        </w:tc>
        <w:tc>
          <w:tcPr>
            <w:tcW w:w="1417" w:type="dxa"/>
          </w:tcPr>
          <w:p>
            <w:pPr>
              <w:spacing w:line="360" w:lineRule="auto"/>
              <w:jc w:val="center"/>
              <w:rPr>
                <w:rFonts w:ascii="仿宋_GB2312" w:eastAsia="仿宋_GB2312"/>
                <w:sz w:val="24"/>
                <w:szCs w:val="24"/>
              </w:rPr>
            </w:pPr>
          </w:p>
        </w:tc>
      </w:tr>
    </w:tbl>
    <w:p>
      <w:pPr>
        <w:spacing w:line="360" w:lineRule="auto"/>
        <w:ind w:firstLine="482" w:firstLineChars="200"/>
        <w:rPr>
          <w:rFonts w:ascii="黑体" w:hAnsi="黑体" w:eastAsia="黑体"/>
          <w:b/>
          <w:sz w:val="24"/>
          <w:szCs w:val="24"/>
        </w:rPr>
      </w:pPr>
      <w:r>
        <w:rPr>
          <w:rFonts w:hint="eastAsia" w:ascii="黑体" w:hAnsi="黑体" w:eastAsia="黑体"/>
          <w:b/>
          <w:sz w:val="24"/>
          <w:szCs w:val="24"/>
        </w:rPr>
        <w:t>四</w:t>
      </w:r>
      <w:r>
        <w:rPr>
          <w:rFonts w:ascii="黑体" w:hAnsi="黑体" w:eastAsia="黑体"/>
          <w:b/>
          <w:sz w:val="24"/>
          <w:szCs w:val="24"/>
        </w:rPr>
        <w:t>、</w:t>
      </w:r>
      <w:r>
        <w:rPr>
          <w:rFonts w:hint="eastAsia" w:ascii="黑体" w:hAnsi="黑体" w:eastAsia="黑体"/>
          <w:b/>
          <w:sz w:val="24"/>
          <w:szCs w:val="24"/>
        </w:rPr>
        <w:t>招聘</w:t>
      </w:r>
      <w:r>
        <w:rPr>
          <w:rFonts w:ascii="黑体" w:hAnsi="黑体" w:eastAsia="黑体"/>
          <w:b/>
          <w:sz w:val="24"/>
          <w:szCs w:val="24"/>
        </w:rPr>
        <w:t>对象及条件</w:t>
      </w:r>
    </w:p>
    <w:p>
      <w:pPr>
        <w:pStyle w:val="5"/>
        <w:spacing w:before="0" w:beforeAutospacing="0" w:after="0" w:afterAutospacing="0" w:line="360" w:lineRule="auto"/>
        <w:ind w:firstLine="480"/>
        <w:rPr>
          <w:rFonts w:ascii="仿宋_GB2312" w:eastAsia="仿宋_GB2312" w:hAnsiTheme="minorHAnsi" w:cstheme="minorBidi"/>
          <w:kern w:val="2"/>
        </w:rPr>
      </w:pPr>
      <w:r>
        <w:rPr>
          <w:rFonts w:hint="eastAsia" w:ascii="仿宋_GB2312" w:eastAsia="仿宋_GB2312" w:hAnsiTheme="minorHAnsi" w:cstheme="minorBidi"/>
          <w:kern w:val="2"/>
        </w:rPr>
        <w:t>1.遵守国家法律、法规,无违纪处分及违法记录。</w:t>
      </w:r>
    </w:p>
    <w:p>
      <w:pPr>
        <w:pStyle w:val="5"/>
        <w:shd w:val="clear" w:color="auto" w:fill="FEFFFF"/>
        <w:spacing w:before="0" w:beforeAutospacing="0" w:after="0" w:afterAutospacing="0" w:line="360" w:lineRule="auto"/>
        <w:ind w:firstLine="480"/>
        <w:jc w:val="both"/>
        <w:rPr>
          <w:rFonts w:ascii="仿宋_GB2312" w:eastAsia="仿宋_GB2312" w:hAnsiTheme="minorHAnsi" w:cstheme="minorBidi"/>
          <w:kern w:val="2"/>
        </w:rPr>
      </w:pPr>
      <w:r>
        <w:rPr>
          <w:rFonts w:hint="eastAsia" w:ascii="仿宋_GB2312" w:eastAsia="仿宋_GB2312" w:hAnsiTheme="minorHAnsi" w:cstheme="minorBidi"/>
          <w:kern w:val="2"/>
        </w:rPr>
        <w:t>2.</w:t>
      </w:r>
      <w:r>
        <w:rPr>
          <w:rFonts w:ascii="仿宋_GB2312" w:eastAsia="仿宋_GB2312" w:hAnsiTheme="minorHAnsi" w:cstheme="minorBidi"/>
          <w:kern w:val="2"/>
        </w:rPr>
        <w:t>身心健康，热爱教育事业，具备良好的</w:t>
      </w:r>
      <w:r>
        <w:rPr>
          <w:rFonts w:hint="eastAsia" w:ascii="仿宋_GB2312" w:eastAsia="仿宋_GB2312" w:hAnsiTheme="minorHAnsi" w:cstheme="minorBidi"/>
          <w:kern w:val="2"/>
        </w:rPr>
        <w:t>教师</w:t>
      </w:r>
      <w:r>
        <w:rPr>
          <w:rFonts w:ascii="仿宋_GB2312" w:eastAsia="仿宋_GB2312" w:hAnsiTheme="minorHAnsi" w:cstheme="minorBidi"/>
          <w:kern w:val="2"/>
        </w:rPr>
        <w:t>职业道德素养、专业知识水平和教育教学技能，有继续学习和自我提升的意愿；</w:t>
      </w:r>
      <w:r>
        <w:rPr>
          <w:rFonts w:hint="eastAsia" w:ascii="仿宋_GB2312" w:eastAsia="仿宋_GB2312" w:hAnsiTheme="minorHAnsi" w:cstheme="minorBidi"/>
          <w:kern w:val="2"/>
        </w:rPr>
        <w:t>肯</w:t>
      </w:r>
      <w:r>
        <w:rPr>
          <w:rFonts w:ascii="仿宋_GB2312" w:eastAsia="仿宋_GB2312" w:hAnsiTheme="minorHAnsi" w:cstheme="minorBidi"/>
          <w:kern w:val="2"/>
        </w:rPr>
        <w:t>吃苦耐劳，认同镇海中学</w:t>
      </w:r>
      <w:r>
        <w:rPr>
          <w:rFonts w:hint="eastAsia" w:ascii="仿宋_GB2312" w:eastAsia="仿宋_GB2312" w:hAnsiTheme="minorHAnsi" w:cstheme="minorBidi"/>
          <w:kern w:val="2"/>
        </w:rPr>
        <w:t>“教育</w:t>
      </w:r>
      <w:r>
        <w:rPr>
          <w:rFonts w:ascii="仿宋_GB2312" w:eastAsia="仿宋_GB2312" w:hAnsiTheme="minorHAnsi" w:cstheme="minorBidi"/>
          <w:kern w:val="2"/>
        </w:rPr>
        <w:t>自觉</w:t>
      </w:r>
      <w:r>
        <w:rPr>
          <w:rFonts w:hint="eastAsia" w:ascii="仿宋_GB2312" w:eastAsia="仿宋_GB2312" w:hAnsiTheme="minorHAnsi" w:cstheme="minorBidi"/>
          <w:kern w:val="2"/>
        </w:rPr>
        <w:t>”“学生在</w:t>
      </w:r>
      <w:r>
        <w:rPr>
          <w:rFonts w:ascii="仿宋_GB2312" w:eastAsia="仿宋_GB2312" w:hAnsiTheme="minorHAnsi" w:cstheme="minorBidi"/>
          <w:kern w:val="2"/>
        </w:rPr>
        <w:t>、老师在</w:t>
      </w:r>
      <w:r>
        <w:rPr>
          <w:rFonts w:hint="eastAsia" w:ascii="仿宋_GB2312" w:eastAsia="仿宋_GB2312" w:hAnsiTheme="minorHAnsi" w:cstheme="minorBidi"/>
          <w:kern w:val="2"/>
        </w:rPr>
        <w:t>”等</w:t>
      </w:r>
      <w:r>
        <w:rPr>
          <w:rFonts w:ascii="仿宋_GB2312" w:eastAsia="仿宋_GB2312" w:hAnsiTheme="minorHAnsi" w:cstheme="minorBidi"/>
          <w:kern w:val="2"/>
        </w:rPr>
        <w:t>办学理念和</w:t>
      </w:r>
      <w:r>
        <w:rPr>
          <w:rFonts w:hint="eastAsia" w:ascii="仿宋_GB2312" w:eastAsia="仿宋_GB2312" w:hAnsiTheme="minorHAnsi" w:cstheme="minorBidi"/>
          <w:kern w:val="2"/>
        </w:rPr>
        <w:t>“教育</w:t>
      </w:r>
      <w:r>
        <w:rPr>
          <w:rFonts w:ascii="仿宋_GB2312" w:eastAsia="仿宋_GB2312" w:hAnsiTheme="minorHAnsi" w:cstheme="minorBidi"/>
          <w:kern w:val="2"/>
        </w:rPr>
        <w:t>贵在成全</w:t>
      </w:r>
      <w:r>
        <w:rPr>
          <w:rFonts w:hint="eastAsia" w:ascii="仿宋_GB2312" w:eastAsia="仿宋_GB2312" w:hAnsiTheme="minorHAnsi" w:cstheme="minorBidi"/>
          <w:kern w:val="2"/>
        </w:rPr>
        <w:t>”等</w:t>
      </w:r>
      <w:r>
        <w:rPr>
          <w:rFonts w:ascii="仿宋_GB2312" w:eastAsia="仿宋_GB2312" w:hAnsiTheme="minorHAnsi" w:cstheme="minorBidi"/>
          <w:kern w:val="2"/>
        </w:rPr>
        <w:t>教育价值追求。</w:t>
      </w:r>
    </w:p>
    <w:p>
      <w:pPr>
        <w:pStyle w:val="5"/>
        <w:spacing w:before="0" w:beforeAutospacing="0" w:after="0" w:afterAutospacing="0" w:line="360" w:lineRule="auto"/>
        <w:ind w:firstLine="480"/>
        <w:rPr>
          <w:rFonts w:ascii="仿宋_GB2312" w:eastAsia="仿宋_GB2312" w:hAnsiTheme="minorHAnsi" w:cstheme="minorBidi"/>
          <w:kern w:val="2"/>
        </w:rPr>
      </w:pPr>
      <w:r>
        <w:rPr>
          <w:rFonts w:hint="eastAsia" w:ascii="仿宋_GB2312" w:eastAsia="仿宋_GB2312" w:hAnsiTheme="minorHAnsi" w:cstheme="minorBidi"/>
          <w:kern w:val="2"/>
        </w:rPr>
        <w:t>3.具备教师职业所需要的专业知识水平、教育教学能力和心理素质,愿意并有能力承担基础学科教学以外的学生活动或心理成长指导工作。</w:t>
      </w:r>
    </w:p>
    <w:p>
      <w:pPr>
        <w:pStyle w:val="5"/>
        <w:spacing w:before="0" w:beforeAutospacing="0" w:after="0" w:afterAutospacing="0" w:line="360" w:lineRule="auto"/>
        <w:ind w:firstLine="480"/>
        <w:rPr>
          <w:rFonts w:ascii="仿宋_GB2312" w:eastAsia="仿宋_GB2312" w:hAnsiTheme="minorHAnsi" w:cstheme="minorBidi"/>
          <w:kern w:val="2"/>
        </w:rPr>
      </w:pPr>
      <w:r>
        <w:rPr>
          <w:rFonts w:hint="eastAsia" w:ascii="仿宋_GB2312" w:eastAsia="仿宋_GB2312" w:hAnsiTheme="minorHAnsi" w:cstheme="minorBidi"/>
          <w:kern w:val="2"/>
        </w:rPr>
        <w:t>4.浙江省户籍(报名截止时间的户籍所在地)或生源(生源指经高考被高校录取时户口所在地)的2022年普通高校本科及以上学历应届毕业生,一流建设高校(A类36所)、部属师范院校(6所)的应届毕业生可不限生源和户籍。</w:t>
      </w:r>
    </w:p>
    <w:p>
      <w:pPr>
        <w:pStyle w:val="5"/>
        <w:spacing w:before="0" w:beforeAutospacing="0" w:after="0" w:afterAutospacing="0" w:line="360" w:lineRule="auto"/>
        <w:ind w:firstLine="480"/>
        <w:rPr>
          <w:rFonts w:ascii="仿宋_GB2312" w:eastAsia="仿宋_GB2312" w:hAnsiTheme="minorHAnsi" w:cstheme="minorBidi"/>
          <w:kern w:val="2"/>
        </w:rPr>
      </w:pPr>
      <w:r>
        <w:rPr>
          <w:rFonts w:hint="eastAsia" w:ascii="仿宋_GB2312" w:eastAsia="仿宋_GB2312" w:hAnsiTheme="minorHAnsi" w:cstheme="minorBidi"/>
          <w:kern w:val="2"/>
        </w:rPr>
        <w:t>5.年龄在35周岁以下(1986年9月1日以后出生)的在职优秀教师,任教三学年及以上,并有地市级及以上教学业务比赛获奖。具有副高专业职称以上教师可放宽到45周岁以下(1976年9月1日以后出生)。</w:t>
      </w:r>
    </w:p>
    <w:p>
      <w:pPr>
        <w:pStyle w:val="5"/>
        <w:spacing w:before="0" w:beforeAutospacing="0" w:after="0" w:afterAutospacing="0" w:line="360" w:lineRule="auto"/>
        <w:ind w:firstLine="480"/>
        <w:rPr>
          <w:rFonts w:ascii="仿宋_GB2312" w:eastAsia="仿宋_GB2312" w:hAnsiTheme="minorHAnsi" w:cstheme="minorBidi"/>
          <w:kern w:val="2"/>
        </w:rPr>
      </w:pPr>
      <w:r>
        <w:rPr>
          <w:rFonts w:hint="eastAsia" w:ascii="仿宋_GB2312" w:eastAsia="仿宋_GB2312" w:hAnsiTheme="minorHAnsi" w:cstheme="minorBidi"/>
          <w:kern w:val="2"/>
        </w:rPr>
        <w:t>6.应届毕业生具备同报考学科相对口的专业并具有相应学科的教师资格证书。在职优秀教师具有与报考学科相匹配的教师资格证或职称证书(以本人已取得的最高层次职称证书为准)。</w:t>
      </w:r>
    </w:p>
    <w:p>
      <w:pPr>
        <w:pStyle w:val="5"/>
        <w:spacing w:before="0" w:beforeAutospacing="0" w:after="0" w:afterAutospacing="0" w:line="360" w:lineRule="auto"/>
        <w:ind w:firstLine="480"/>
        <w:rPr>
          <w:rFonts w:ascii="仿宋_GB2312" w:eastAsia="仿宋_GB2312" w:hAnsiTheme="minorHAnsi" w:cstheme="minorBidi"/>
          <w:kern w:val="2"/>
        </w:rPr>
      </w:pPr>
      <w:r>
        <w:rPr>
          <w:rFonts w:hint="eastAsia" w:ascii="仿宋_GB2312" w:eastAsia="仿宋_GB2312" w:hAnsiTheme="minorHAnsi" w:cstheme="minorBidi"/>
          <w:kern w:val="2"/>
        </w:rPr>
        <w:t>7.未取得教师资格证的应届毕业生要求在录用起两年内取得相应的教师资格证书(截止2024年7月31日),届时未取得相应教师资格证书的人员不再聘用上岗。</w:t>
      </w:r>
    </w:p>
    <w:p>
      <w:pPr>
        <w:spacing w:line="360" w:lineRule="auto"/>
        <w:ind w:firstLine="482" w:firstLineChars="200"/>
        <w:rPr>
          <w:rFonts w:ascii="黑体" w:hAnsi="黑体" w:eastAsia="黑体"/>
          <w:b/>
          <w:sz w:val="24"/>
          <w:szCs w:val="24"/>
        </w:rPr>
      </w:pPr>
      <w:r>
        <w:rPr>
          <w:rFonts w:hint="eastAsia" w:ascii="黑体" w:hAnsi="黑体" w:eastAsia="黑体"/>
          <w:b/>
          <w:sz w:val="24"/>
          <w:szCs w:val="24"/>
        </w:rPr>
        <w:t>五、招聘</w:t>
      </w:r>
      <w:r>
        <w:rPr>
          <w:rFonts w:ascii="黑体" w:hAnsi="黑体" w:eastAsia="黑体"/>
          <w:b/>
          <w:sz w:val="24"/>
          <w:szCs w:val="24"/>
        </w:rPr>
        <w:t>程序和办法</w:t>
      </w:r>
    </w:p>
    <w:p>
      <w:pPr>
        <w:pStyle w:val="5"/>
        <w:spacing w:before="0" w:beforeAutospacing="0" w:after="0" w:afterAutospacing="0" w:line="360" w:lineRule="auto"/>
        <w:ind w:firstLine="480"/>
        <w:rPr>
          <w:rFonts w:ascii="仿宋_GB2312" w:eastAsia="仿宋_GB2312" w:hAnsiTheme="minorHAnsi" w:cstheme="minorBidi"/>
          <w:kern w:val="2"/>
        </w:rPr>
      </w:pPr>
      <w:r>
        <w:rPr>
          <w:rFonts w:hint="eastAsia" w:ascii="仿宋_GB2312" w:eastAsia="仿宋_GB2312" w:hAnsiTheme="minorHAnsi" w:cstheme="minorBidi"/>
          <w:kern w:val="2"/>
        </w:rPr>
        <w:t xml:space="preserve"> (一)报名</w:t>
      </w:r>
    </w:p>
    <w:p>
      <w:pPr>
        <w:pStyle w:val="5"/>
        <w:spacing w:before="0" w:beforeAutospacing="0" w:after="0" w:afterAutospacing="0" w:line="360" w:lineRule="auto"/>
        <w:ind w:firstLine="480"/>
        <w:rPr>
          <w:rFonts w:ascii="仿宋_GB2312" w:eastAsia="仿宋_GB2312" w:hAnsiTheme="minorHAnsi" w:cstheme="minorBidi"/>
          <w:kern w:val="2"/>
        </w:rPr>
      </w:pPr>
      <w:r>
        <w:rPr>
          <w:rFonts w:hint="eastAsia" w:ascii="仿宋_GB2312" w:eastAsia="仿宋_GB2312" w:hAnsiTheme="minorHAnsi" w:cstheme="minorBidi"/>
          <w:kern w:val="2"/>
        </w:rPr>
        <w:t>招聘采用网上报名的方式。应聘者填写《镇海中学南浔</w:t>
      </w:r>
      <w:r>
        <w:rPr>
          <w:rFonts w:ascii="仿宋_GB2312" w:eastAsia="仿宋_GB2312" w:hAnsiTheme="minorHAnsi" w:cstheme="minorBidi"/>
          <w:kern w:val="2"/>
        </w:rPr>
        <w:t>分校</w:t>
      </w:r>
      <w:r>
        <w:rPr>
          <w:rFonts w:hint="eastAsia" w:ascii="仿宋_GB2312" w:eastAsia="仿宋_GB2312" w:hAnsiTheme="minorHAnsi" w:cstheme="minorBidi"/>
          <w:kern w:val="2"/>
        </w:rPr>
        <w:t>教师招聘报名表》(附件</w:t>
      </w:r>
      <w:r>
        <w:rPr>
          <w:rFonts w:ascii="仿宋_GB2312" w:eastAsia="仿宋_GB2312" w:hAnsiTheme="minorHAnsi" w:cstheme="minorBidi"/>
          <w:kern w:val="2"/>
        </w:rPr>
        <w:t>1</w:t>
      </w:r>
      <w:r>
        <w:rPr>
          <w:rFonts w:hint="eastAsia" w:ascii="仿宋_GB2312" w:eastAsia="仿宋_GB2312" w:hAnsiTheme="minorHAnsi" w:cstheme="minorBidi"/>
          <w:kern w:val="2"/>
        </w:rPr>
        <w:t>)(报名表上的照片须为近期免冠正面证件照,jpg格式),如高校期间荣获优秀毕业生、三好学生等荣誉、获得各类奖学金、竞赛等奖项及在职期间获得地市级以上名优称号,竞赛奖项的,在邮件中可附上证书原件或学校出具证明的图片文档,同时将报名材料清单(附件</w:t>
      </w:r>
      <w:r>
        <w:rPr>
          <w:rFonts w:ascii="仿宋_GB2312" w:eastAsia="仿宋_GB2312" w:hAnsiTheme="minorHAnsi" w:cstheme="minorBidi"/>
          <w:kern w:val="2"/>
        </w:rPr>
        <w:t>2</w:t>
      </w:r>
      <w:r>
        <w:rPr>
          <w:rFonts w:hint="eastAsia" w:ascii="仿宋_GB2312" w:eastAsia="仿宋_GB2312" w:hAnsiTheme="minorHAnsi" w:cstheme="minorBidi"/>
          <w:kern w:val="2"/>
        </w:rPr>
        <w:t>)中所列材料原件扫描或拍照压缩打包(压缩包以“姓名+学科”命名),发送到学校邮箱:zhzx</w:t>
      </w:r>
      <w:r>
        <w:rPr>
          <w:rFonts w:ascii="仿宋_GB2312" w:eastAsia="仿宋_GB2312" w:hAnsiTheme="minorHAnsi" w:cstheme="minorBidi"/>
          <w:kern w:val="2"/>
        </w:rPr>
        <w:t>nxfx</w:t>
      </w:r>
      <w:r>
        <w:rPr>
          <w:rFonts w:hint="eastAsia" w:ascii="仿宋_GB2312" w:eastAsia="仿宋_GB2312" w:hAnsiTheme="minorHAnsi" w:cstheme="minorBidi"/>
          <w:kern w:val="2"/>
        </w:rPr>
        <w:t>@163.com。报名截止时间为2021年</w:t>
      </w:r>
      <w:r>
        <w:rPr>
          <w:rFonts w:ascii="仿宋_GB2312" w:eastAsia="仿宋_GB2312" w:hAnsiTheme="minorHAnsi" w:cstheme="minorBidi"/>
          <w:kern w:val="2"/>
        </w:rPr>
        <w:t>10</w:t>
      </w:r>
      <w:r>
        <w:rPr>
          <w:rFonts w:hint="eastAsia" w:ascii="仿宋_GB2312" w:eastAsia="仿宋_GB2312" w:hAnsiTheme="minorHAnsi" w:cstheme="minorBidi"/>
          <w:kern w:val="2"/>
        </w:rPr>
        <w:t>月21日。</w:t>
      </w:r>
    </w:p>
    <w:p>
      <w:pPr>
        <w:pStyle w:val="5"/>
        <w:spacing w:before="0" w:beforeAutospacing="0" w:after="0" w:afterAutospacing="0" w:line="360" w:lineRule="auto"/>
        <w:ind w:firstLine="480"/>
        <w:rPr>
          <w:rFonts w:ascii="仿宋_GB2312" w:eastAsia="仿宋_GB2312" w:hAnsiTheme="minorHAnsi" w:cstheme="minorBidi"/>
          <w:kern w:val="2"/>
        </w:rPr>
      </w:pPr>
      <w:r>
        <w:rPr>
          <w:rFonts w:hint="eastAsia" w:ascii="仿宋_GB2312" w:eastAsia="仿宋_GB2312" w:hAnsiTheme="minorHAnsi" w:cstheme="minorBidi"/>
          <w:kern w:val="2"/>
        </w:rPr>
        <w:t>(二)资格确认</w:t>
      </w:r>
    </w:p>
    <w:p>
      <w:pPr>
        <w:pStyle w:val="5"/>
        <w:spacing w:before="0" w:beforeAutospacing="0" w:after="0" w:afterAutospacing="0" w:line="360" w:lineRule="auto"/>
        <w:ind w:firstLine="480"/>
        <w:rPr>
          <w:rFonts w:ascii="仿宋_GB2312" w:eastAsia="仿宋_GB2312" w:hAnsiTheme="minorHAnsi" w:cstheme="minorBidi"/>
          <w:kern w:val="2"/>
        </w:rPr>
      </w:pPr>
      <w:r>
        <w:rPr>
          <w:rFonts w:hint="eastAsia" w:ascii="仿宋_GB2312" w:eastAsia="仿宋_GB2312" w:hAnsiTheme="minorHAnsi" w:cstheme="minorBidi"/>
          <w:kern w:val="2"/>
        </w:rPr>
        <w:t>应聘人员提供的个人信息必须真实有效,证件不全或提供的相关资料与报名资格条件不相符者不予通过。学校对资料齐全,符合要求的应聘人员进行初审后,进入测试环节。</w:t>
      </w:r>
    </w:p>
    <w:p>
      <w:pPr>
        <w:pStyle w:val="5"/>
        <w:spacing w:before="0" w:beforeAutospacing="0" w:after="0" w:afterAutospacing="0" w:line="360" w:lineRule="auto"/>
        <w:ind w:firstLine="480"/>
        <w:rPr>
          <w:rFonts w:ascii="仿宋_GB2312" w:eastAsia="仿宋_GB2312" w:hAnsiTheme="minorHAnsi" w:cstheme="minorBidi"/>
          <w:kern w:val="2"/>
        </w:rPr>
      </w:pPr>
      <w:r>
        <w:rPr>
          <w:rFonts w:hint="eastAsia" w:ascii="仿宋_GB2312" w:eastAsia="仿宋_GB2312" w:hAnsiTheme="minorHAnsi" w:cstheme="minorBidi"/>
          <w:kern w:val="2"/>
        </w:rPr>
        <w:t>如岗位报名人数不足招聘指标3倍的,则核减或取消招聘指标。</w:t>
      </w:r>
    </w:p>
    <w:p>
      <w:pPr>
        <w:pStyle w:val="5"/>
        <w:spacing w:before="0" w:beforeAutospacing="0" w:after="0" w:afterAutospacing="0" w:line="360" w:lineRule="auto"/>
        <w:ind w:firstLine="480"/>
        <w:rPr>
          <w:rFonts w:ascii="仿宋_GB2312" w:eastAsia="仿宋_GB2312" w:hAnsiTheme="minorHAnsi" w:cstheme="minorBidi"/>
          <w:kern w:val="2"/>
        </w:rPr>
      </w:pPr>
      <w:r>
        <w:rPr>
          <w:rFonts w:hint="eastAsia" w:ascii="仿宋_GB2312" w:eastAsia="仿宋_GB2312" w:hAnsiTheme="minorHAnsi" w:cstheme="minorBidi"/>
          <w:kern w:val="2"/>
        </w:rPr>
        <w:t>(三)测试</w:t>
      </w:r>
    </w:p>
    <w:p>
      <w:pPr>
        <w:pStyle w:val="5"/>
        <w:spacing w:before="0" w:beforeAutospacing="0" w:after="0" w:afterAutospacing="0" w:line="360" w:lineRule="auto"/>
        <w:ind w:firstLine="480"/>
        <w:rPr>
          <w:rFonts w:ascii="仿宋_GB2312" w:eastAsia="仿宋_GB2312" w:hAnsiTheme="minorHAnsi" w:cstheme="minorBidi"/>
          <w:kern w:val="2"/>
        </w:rPr>
      </w:pPr>
      <w:r>
        <w:rPr>
          <w:rFonts w:hint="eastAsia" w:ascii="仿宋_GB2312" w:eastAsia="仿宋_GB2312" w:hAnsiTheme="minorHAnsi" w:cstheme="minorBidi"/>
          <w:kern w:val="2"/>
        </w:rPr>
        <w:t>通过资格确认的应聘者将收到相应的电子邮件,并需根据邮件要求及时回复,准时参加测试(未按要求回复邮件者将不再另行通知并视作放弃)。</w:t>
      </w:r>
    </w:p>
    <w:p>
      <w:pPr>
        <w:pStyle w:val="5"/>
        <w:spacing w:before="0" w:beforeAutospacing="0" w:after="0" w:afterAutospacing="0" w:line="360" w:lineRule="auto"/>
        <w:ind w:firstLine="480"/>
        <w:rPr>
          <w:rFonts w:ascii="仿宋_GB2312" w:eastAsia="仿宋_GB2312" w:hAnsiTheme="minorHAnsi" w:cstheme="minorBidi"/>
          <w:kern w:val="2"/>
        </w:rPr>
      </w:pPr>
      <w:r>
        <w:rPr>
          <w:rFonts w:hint="eastAsia" w:ascii="仿宋_GB2312" w:eastAsia="仿宋_GB2312" w:hAnsiTheme="minorHAnsi" w:cstheme="minorBidi"/>
          <w:kern w:val="2"/>
        </w:rPr>
        <w:t>测试含教育教学素养评估和教育教学能力测试环节。</w:t>
      </w:r>
    </w:p>
    <w:p>
      <w:pPr>
        <w:pStyle w:val="5"/>
        <w:spacing w:before="0" w:beforeAutospacing="0" w:after="0" w:afterAutospacing="0" w:line="360" w:lineRule="auto"/>
        <w:ind w:firstLine="480"/>
        <w:rPr>
          <w:rFonts w:ascii="仿宋_GB2312" w:eastAsia="仿宋_GB2312" w:hAnsiTheme="minorHAnsi" w:cstheme="minorBidi"/>
          <w:kern w:val="2"/>
        </w:rPr>
      </w:pPr>
      <w:r>
        <w:rPr>
          <w:rFonts w:hint="eastAsia" w:ascii="仿宋_GB2312" w:eastAsia="仿宋_GB2312" w:hAnsiTheme="minorHAnsi" w:cstheme="minorBidi"/>
          <w:kern w:val="2"/>
        </w:rPr>
        <w:t>1.教育教学素养评估</w:t>
      </w:r>
    </w:p>
    <w:p>
      <w:pPr>
        <w:pStyle w:val="5"/>
        <w:shd w:val="clear" w:color="auto" w:fill="FFFFFF"/>
        <w:spacing w:before="0" w:beforeAutospacing="0" w:after="0" w:afterAutospacing="0" w:line="360" w:lineRule="auto"/>
        <w:ind w:firstLine="480"/>
        <w:rPr>
          <w:rFonts w:ascii="仿宋_GB2312" w:eastAsia="仿宋_GB2312" w:hAnsiTheme="minorHAnsi" w:cstheme="minorBidi"/>
          <w:kern w:val="2"/>
        </w:rPr>
      </w:pPr>
      <w:r>
        <w:rPr>
          <w:rFonts w:hint="eastAsia" w:ascii="仿宋_GB2312" w:eastAsia="仿宋_GB2312" w:hAnsiTheme="minorHAnsi" w:cstheme="minorBidi"/>
          <w:kern w:val="2"/>
        </w:rPr>
        <w:t>教育教学素养评估形式以面谈为主,主要考察应聘者的综合素养(包括教育教学观念、举止仪表、语言表达、综合分析、心理素质、才艺特长等)。满分100分,不足60分的淘汰。</w:t>
      </w:r>
    </w:p>
    <w:p>
      <w:pPr>
        <w:pStyle w:val="5"/>
        <w:shd w:val="clear" w:color="auto" w:fill="FFFFFF"/>
        <w:spacing w:before="0" w:beforeAutospacing="0" w:after="0" w:afterAutospacing="0" w:line="360" w:lineRule="auto"/>
        <w:ind w:firstLine="480"/>
        <w:rPr>
          <w:rFonts w:ascii="仿宋_GB2312" w:eastAsia="仿宋_GB2312" w:hAnsiTheme="minorHAnsi" w:cstheme="minorBidi"/>
          <w:kern w:val="2"/>
        </w:rPr>
      </w:pPr>
      <w:r>
        <w:rPr>
          <w:rFonts w:hint="eastAsia" w:ascii="仿宋_GB2312" w:eastAsia="仿宋_GB2312" w:hAnsiTheme="minorHAnsi" w:cstheme="minorBidi"/>
          <w:kern w:val="2"/>
        </w:rPr>
        <w:t>2.教育教学能力测试</w:t>
      </w:r>
    </w:p>
    <w:p>
      <w:pPr>
        <w:pStyle w:val="5"/>
        <w:shd w:val="clear" w:color="auto" w:fill="FFFFFF"/>
        <w:spacing w:before="0" w:beforeAutospacing="0" w:after="0" w:afterAutospacing="0" w:line="360" w:lineRule="auto"/>
        <w:ind w:firstLine="480"/>
        <w:rPr>
          <w:rFonts w:ascii="仿宋_GB2312" w:eastAsia="仿宋_GB2312" w:hAnsiTheme="minorHAnsi" w:cstheme="minorBidi"/>
          <w:kern w:val="2"/>
        </w:rPr>
      </w:pPr>
      <w:r>
        <w:rPr>
          <w:rFonts w:hint="eastAsia" w:ascii="仿宋_GB2312" w:eastAsia="仿宋_GB2312" w:hAnsiTheme="minorHAnsi" w:cstheme="minorBidi"/>
          <w:kern w:val="2"/>
        </w:rPr>
        <w:t>通过教育教学素养评估的应聘者进入教育教学能力测试。教育教学能力测试采用学科专业测试和课堂实操测试相结合的形式进行。</w:t>
      </w:r>
    </w:p>
    <w:p>
      <w:pPr>
        <w:pStyle w:val="5"/>
        <w:shd w:val="clear" w:color="auto" w:fill="FFFFFF"/>
        <w:spacing w:before="0" w:beforeAutospacing="0" w:after="0" w:afterAutospacing="0" w:line="360" w:lineRule="auto"/>
        <w:ind w:firstLine="480"/>
        <w:rPr>
          <w:rFonts w:ascii="仿宋_GB2312" w:eastAsia="仿宋_GB2312" w:hAnsiTheme="minorHAnsi" w:cstheme="minorBidi"/>
          <w:kern w:val="2"/>
        </w:rPr>
      </w:pPr>
      <w:r>
        <w:rPr>
          <w:rFonts w:hint="eastAsia" w:ascii="仿宋_GB2312" w:eastAsia="仿宋_GB2312" w:hAnsiTheme="minorHAnsi" w:cstheme="minorBidi"/>
          <w:kern w:val="2"/>
        </w:rPr>
        <w:t>(1)学科专业测试</w:t>
      </w:r>
    </w:p>
    <w:p>
      <w:pPr>
        <w:pStyle w:val="5"/>
        <w:shd w:val="clear" w:color="auto" w:fill="FFFFFF"/>
        <w:spacing w:before="0" w:beforeAutospacing="0" w:after="0" w:afterAutospacing="0" w:line="360" w:lineRule="auto"/>
        <w:ind w:firstLine="480"/>
        <w:rPr>
          <w:rFonts w:ascii="仿宋_GB2312" w:eastAsia="仿宋_GB2312" w:hAnsiTheme="minorHAnsi" w:cstheme="minorBidi"/>
          <w:kern w:val="2"/>
        </w:rPr>
      </w:pPr>
      <w:r>
        <w:rPr>
          <w:rFonts w:hint="eastAsia" w:ascii="仿宋_GB2312" w:eastAsia="仿宋_GB2312" w:hAnsiTheme="minorHAnsi" w:cstheme="minorBidi"/>
          <w:kern w:val="2"/>
        </w:rPr>
        <w:t>学科专业测试主要考察应聘者的专业知识。学科专业测试后,按学科划定测试成绩合格分。学科专业测试满分为100分。应聘者测试成绩平均分在60分以上,则60分为合格成绩;若测试成绩平均分在60分以下的,则以平均分为合格成绩。学科专业测试成绩不合格者不得进入课堂实操测试环节。应聘人员凭本人身份证参加学科专业测试。</w:t>
      </w:r>
    </w:p>
    <w:p>
      <w:pPr>
        <w:pStyle w:val="5"/>
        <w:shd w:val="clear" w:color="auto" w:fill="FFFFFF"/>
        <w:spacing w:before="0" w:beforeAutospacing="0" w:after="0" w:afterAutospacing="0" w:line="360" w:lineRule="auto"/>
        <w:ind w:firstLine="480"/>
        <w:rPr>
          <w:rFonts w:ascii="仿宋_GB2312" w:eastAsia="仿宋_GB2312" w:hAnsiTheme="minorHAnsi" w:cstheme="minorBidi"/>
          <w:kern w:val="2"/>
        </w:rPr>
      </w:pPr>
      <w:r>
        <w:rPr>
          <w:rFonts w:hint="eastAsia" w:ascii="仿宋_GB2312" w:eastAsia="仿宋_GB2312" w:hAnsiTheme="minorHAnsi" w:cstheme="minorBidi"/>
          <w:kern w:val="2"/>
        </w:rPr>
        <w:t>(2)课堂实操测试</w:t>
      </w:r>
    </w:p>
    <w:p>
      <w:pPr>
        <w:pStyle w:val="5"/>
        <w:shd w:val="clear" w:color="auto" w:fill="FFFFFF"/>
        <w:spacing w:before="0" w:beforeAutospacing="0" w:after="0" w:afterAutospacing="0" w:line="360" w:lineRule="auto"/>
        <w:ind w:firstLine="480"/>
        <w:rPr>
          <w:rFonts w:ascii="仿宋_GB2312" w:eastAsia="仿宋_GB2312" w:hAnsiTheme="minorHAnsi" w:cstheme="minorBidi"/>
          <w:kern w:val="2"/>
        </w:rPr>
      </w:pPr>
      <w:r>
        <w:rPr>
          <w:rFonts w:hint="eastAsia" w:ascii="仿宋_GB2312" w:eastAsia="仿宋_GB2312" w:hAnsiTheme="minorHAnsi" w:cstheme="minorBidi"/>
          <w:kern w:val="2"/>
        </w:rPr>
        <w:t>对合格考生根据学科专业测试成绩,从高分到低分按1:3的比例确定入围课堂实操测试人员(不足的按实际人数)。入围课堂实操测试人员放弃或被取消资格,在学科专业测试合格者中,按成绩从高到低依次递补。</w:t>
      </w:r>
    </w:p>
    <w:p>
      <w:pPr>
        <w:pStyle w:val="5"/>
        <w:shd w:val="clear" w:color="auto" w:fill="FFFFFF"/>
        <w:spacing w:before="0" w:beforeAutospacing="0" w:after="0" w:afterAutospacing="0" w:line="360" w:lineRule="auto"/>
        <w:ind w:firstLine="480"/>
        <w:rPr>
          <w:rFonts w:ascii="仿宋_GB2312" w:eastAsia="仿宋_GB2312" w:hAnsiTheme="minorHAnsi" w:cstheme="minorBidi"/>
          <w:kern w:val="2"/>
        </w:rPr>
      </w:pPr>
      <w:r>
        <w:rPr>
          <w:rFonts w:hint="eastAsia" w:ascii="仿宋_GB2312" w:eastAsia="仿宋_GB2312" w:hAnsiTheme="minorHAnsi" w:cstheme="minorBidi"/>
          <w:kern w:val="2"/>
        </w:rPr>
        <w:t>课堂实操测试形式为上课或试讲(说课),该环节主要考察和测评应聘者的教育教学能力(包括专业知识、课堂教学、操作技能等)。面试满分为100分,不到60分为不合格,面试不合格者直接淘汰。</w:t>
      </w:r>
    </w:p>
    <w:p>
      <w:pPr>
        <w:pStyle w:val="5"/>
        <w:spacing w:before="0" w:beforeAutospacing="0" w:after="0" w:afterAutospacing="0" w:line="360" w:lineRule="auto"/>
        <w:ind w:firstLine="480"/>
        <w:rPr>
          <w:rFonts w:ascii="仿宋_GB2312" w:eastAsia="仿宋_GB2312" w:hAnsiTheme="minorHAnsi" w:cstheme="minorBidi"/>
          <w:kern w:val="2"/>
        </w:rPr>
      </w:pPr>
      <w:r>
        <w:rPr>
          <w:rFonts w:hint="eastAsia" w:ascii="仿宋_GB2312" w:eastAsia="仿宋_GB2312" w:hAnsiTheme="minorHAnsi" w:cstheme="minorBidi"/>
          <w:kern w:val="2"/>
        </w:rPr>
        <w:t>(3)教育教学能力成绩计算</w:t>
      </w:r>
    </w:p>
    <w:p>
      <w:pPr>
        <w:pStyle w:val="5"/>
        <w:spacing w:before="0" w:beforeAutospacing="0" w:after="0" w:afterAutospacing="0" w:line="360" w:lineRule="auto"/>
        <w:ind w:firstLine="480"/>
        <w:rPr>
          <w:rFonts w:ascii="仿宋_GB2312" w:eastAsia="仿宋_GB2312" w:hAnsiTheme="minorHAnsi" w:cstheme="minorBidi"/>
          <w:kern w:val="2"/>
        </w:rPr>
      </w:pPr>
      <w:r>
        <w:rPr>
          <w:rFonts w:hint="eastAsia" w:ascii="仿宋_GB2312" w:eastAsia="仿宋_GB2312" w:hAnsiTheme="minorHAnsi" w:cstheme="minorBidi"/>
          <w:kern w:val="2"/>
        </w:rPr>
        <w:t>教育教学能力成绩=学科专业测试成绩的40%+课堂实操测试成绩的60%。</w:t>
      </w:r>
    </w:p>
    <w:p>
      <w:pPr>
        <w:pStyle w:val="5"/>
        <w:spacing w:before="0" w:beforeAutospacing="0" w:after="0" w:afterAutospacing="0" w:line="360" w:lineRule="auto"/>
        <w:ind w:firstLine="480"/>
        <w:rPr>
          <w:rFonts w:ascii="仿宋_GB2312" w:eastAsia="仿宋_GB2312" w:hAnsiTheme="minorHAnsi" w:cstheme="minorBidi"/>
          <w:kern w:val="2"/>
        </w:rPr>
      </w:pPr>
      <w:r>
        <w:rPr>
          <w:rFonts w:hint="eastAsia" w:ascii="仿宋_GB2312" w:eastAsia="仿宋_GB2312" w:hAnsiTheme="minorHAnsi" w:cstheme="minorBidi"/>
          <w:kern w:val="2"/>
        </w:rPr>
        <w:t>3.总成绩计算方式及签订就业协议书</w:t>
      </w:r>
    </w:p>
    <w:p>
      <w:pPr>
        <w:pStyle w:val="5"/>
        <w:spacing w:before="0" w:beforeAutospacing="0" w:after="0" w:afterAutospacing="0" w:line="360" w:lineRule="auto"/>
        <w:ind w:firstLine="480"/>
        <w:rPr>
          <w:rFonts w:ascii="仿宋_GB2312" w:eastAsia="仿宋_GB2312" w:hAnsiTheme="minorHAnsi" w:cstheme="minorBidi"/>
          <w:kern w:val="2"/>
        </w:rPr>
      </w:pPr>
      <w:r>
        <w:rPr>
          <w:rFonts w:hint="eastAsia" w:ascii="仿宋_GB2312" w:eastAsia="仿宋_GB2312" w:hAnsiTheme="minorHAnsi" w:cstheme="minorBidi"/>
          <w:kern w:val="2"/>
        </w:rPr>
        <w:t>总成绩=教育教学素养评估成绩的30%+教育教学能力测试成绩的70%。根据总成绩,从高分到低分按招聘指标等额确定签约对象。如遇总分相同的,教育教学能力测试成绩高者为签约对象。学校与签约对象及时签订就业协议书。除协议书约定的条款外,如拟录用者考察、体检不合格的,协议自动解除。</w:t>
      </w:r>
    </w:p>
    <w:p>
      <w:pPr>
        <w:pStyle w:val="5"/>
        <w:spacing w:before="0" w:beforeAutospacing="0" w:after="0" w:afterAutospacing="0" w:line="360" w:lineRule="auto"/>
        <w:ind w:firstLine="480"/>
        <w:rPr>
          <w:rFonts w:ascii="仿宋_GB2312" w:eastAsia="仿宋_GB2312" w:hAnsiTheme="minorHAnsi" w:cstheme="minorBidi"/>
          <w:kern w:val="2"/>
        </w:rPr>
      </w:pPr>
      <w:r>
        <w:rPr>
          <w:rFonts w:hint="eastAsia" w:ascii="仿宋_GB2312" w:eastAsia="仿宋_GB2312" w:hAnsiTheme="minorHAnsi" w:cstheme="minorBidi"/>
          <w:kern w:val="2"/>
        </w:rPr>
        <w:t>(四)体检</w:t>
      </w:r>
    </w:p>
    <w:p>
      <w:pPr>
        <w:pStyle w:val="5"/>
        <w:spacing w:before="0" w:beforeAutospacing="0" w:after="0" w:afterAutospacing="0" w:line="360" w:lineRule="auto"/>
        <w:ind w:firstLine="480"/>
        <w:rPr>
          <w:rFonts w:ascii="仿宋_GB2312" w:eastAsia="仿宋_GB2312" w:hAnsiTheme="minorHAnsi" w:cstheme="minorBidi"/>
          <w:kern w:val="2"/>
        </w:rPr>
      </w:pPr>
      <w:r>
        <w:rPr>
          <w:rFonts w:hint="eastAsia" w:ascii="仿宋_GB2312" w:eastAsia="仿宋_GB2312" w:hAnsiTheme="minorHAnsi" w:cstheme="minorBidi"/>
          <w:kern w:val="2"/>
        </w:rPr>
        <w:t>体检人数与录取岗位数按1:1确定。体检参照公务员体检标准执行。体检不合格者淘汰。不按规定时间、地点参加体检的,视作放弃体检。体检费用由考生自理。体检具体时间及地点另行通知。</w:t>
      </w:r>
    </w:p>
    <w:p>
      <w:pPr>
        <w:pStyle w:val="5"/>
        <w:spacing w:before="0" w:beforeAutospacing="0" w:after="0" w:afterAutospacing="0" w:line="360" w:lineRule="auto"/>
        <w:ind w:firstLine="480"/>
        <w:rPr>
          <w:rFonts w:ascii="仿宋_GB2312" w:eastAsia="仿宋_GB2312" w:hAnsiTheme="minorHAnsi" w:cstheme="minorBidi"/>
          <w:kern w:val="2"/>
        </w:rPr>
      </w:pPr>
      <w:r>
        <w:rPr>
          <w:rFonts w:hint="eastAsia" w:ascii="仿宋_GB2312" w:eastAsia="仿宋_GB2312" w:hAnsiTheme="minorHAnsi" w:cstheme="minorBidi"/>
          <w:kern w:val="2"/>
        </w:rPr>
        <w:t>(五)考察</w:t>
      </w:r>
    </w:p>
    <w:p>
      <w:pPr>
        <w:pStyle w:val="5"/>
        <w:spacing w:before="0" w:beforeAutospacing="0" w:after="0" w:afterAutospacing="0" w:line="360" w:lineRule="auto"/>
        <w:ind w:firstLine="480"/>
        <w:rPr>
          <w:rFonts w:ascii="仿宋_GB2312" w:eastAsia="仿宋_GB2312" w:hAnsiTheme="minorHAnsi" w:cstheme="minorBidi"/>
          <w:kern w:val="2"/>
        </w:rPr>
      </w:pPr>
      <w:r>
        <w:rPr>
          <w:rFonts w:hint="eastAsia" w:ascii="仿宋_GB2312" w:eastAsia="仿宋_GB2312" w:hAnsiTheme="minorHAnsi" w:cstheme="minorBidi"/>
          <w:kern w:val="2"/>
        </w:rPr>
        <w:t>考察参照公务员考察办法执行,主要考察应聘者的政治思想表现、道德品质、教师职业意识、业务能力、工作实绩等。</w:t>
      </w:r>
    </w:p>
    <w:p>
      <w:pPr>
        <w:pStyle w:val="5"/>
        <w:spacing w:before="0" w:beforeAutospacing="0" w:after="0" w:afterAutospacing="0" w:line="360" w:lineRule="auto"/>
        <w:ind w:firstLine="480"/>
        <w:rPr>
          <w:rFonts w:ascii="仿宋_GB2312" w:eastAsia="仿宋_GB2312" w:hAnsiTheme="minorHAnsi" w:cstheme="minorBidi"/>
          <w:kern w:val="2"/>
        </w:rPr>
      </w:pPr>
      <w:r>
        <w:rPr>
          <w:rFonts w:hint="eastAsia" w:ascii="仿宋_GB2312" w:eastAsia="仿宋_GB2312" w:hAnsiTheme="minorHAnsi" w:cstheme="minorBidi"/>
          <w:kern w:val="2"/>
        </w:rPr>
        <w:t>(六)确定录用人选</w:t>
      </w:r>
    </w:p>
    <w:p>
      <w:pPr>
        <w:pStyle w:val="5"/>
        <w:spacing w:before="0" w:beforeAutospacing="0" w:after="0" w:afterAutospacing="0" w:line="360" w:lineRule="auto"/>
        <w:ind w:firstLine="480"/>
        <w:rPr>
          <w:rFonts w:ascii="仿宋_GB2312" w:eastAsia="仿宋_GB2312" w:hAnsiTheme="minorHAnsi" w:cstheme="minorBidi"/>
          <w:kern w:val="2"/>
        </w:rPr>
      </w:pPr>
      <w:r>
        <w:rPr>
          <w:rFonts w:hint="eastAsia" w:ascii="仿宋_GB2312" w:eastAsia="仿宋_GB2312" w:hAnsiTheme="minorHAnsi" w:cstheme="minorBidi"/>
          <w:kern w:val="2"/>
        </w:rPr>
        <w:t>体检、考察合格的签约人员名单报区教育局、区人力资源和社会保障局办理拟录用人员核准手续。区教育局、区人力资源和社会保障局核准后,将拟录用人员名单进行公示。公示无异议的,待毕业派遣后,于2022年8月份办理事业录用手续。不能在2022年7月31日前取得规定学历学位或不能在规定时间内取得相应学科的教师资格证等相关证书的,取消录用资格;公示期间有异议的,经核实不具备录用条件的,取消录用资格。</w:t>
      </w:r>
    </w:p>
    <w:p>
      <w:pPr>
        <w:pStyle w:val="5"/>
        <w:spacing w:before="0" w:beforeAutospacing="0" w:after="0" w:afterAutospacing="0" w:line="360" w:lineRule="auto"/>
        <w:ind w:firstLine="480"/>
        <w:rPr>
          <w:rFonts w:ascii="仿宋_GB2312" w:eastAsia="仿宋_GB2312" w:hAnsiTheme="minorHAnsi" w:cstheme="minorBidi"/>
          <w:kern w:val="2"/>
        </w:rPr>
      </w:pPr>
      <w:r>
        <w:rPr>
          <w:rFonts w:hint="eastAsia" w:ascii="仿宋_GB2312" w:eastAsia="仿宋_GB2312" w:hAnsiTheme="minorHAnsi" w:cstheme="minorBidi"/>
          <w:kern w:val="2"/>
        </w:rPr>
        <w:t>五、其他事项</w:t>
      </w:r>
    </w:p>
    <w:p>
      <w:pPr>
        <w:pStyle w:val="5"/>
        <w:spacing w:before="0" w:beforeAutospacing="0" w:after="0" w:afterAutospacing="0" w:line="360" w:lineRule="auto"/>
        <w:ind w:firstLine="480"/>
        <w:rPr>
          <w:rFonts w:ascii="仿宋_GB2312" w:eastAsia="仿宋_GB2312" w:hAnsiTheme="minorHAnsi" w:cstheme="minorBidi"/>
          <w:kern w:val="2"/>
        </w:rPr>
      </w:pPr>
      <w:r>
        <w:rPr>
          <w:rFonts w:hint="eastAsia" w:ascii="仿宋_GB2312" w:eastAsia="仿宋_GB2312" w:hAnsiTheme="minorHAnsi" w:cstheme="minorBidi"/>
          <w:kern w:val="2"/>
        </w:rPr>
        <w:t>1.拟录用人员正式报到前,其档案资料必须接受人力社保部门审核,如发现个人档案不符合报考条件或录用规定的,取消录用资格。拟录用人员逾期不按规定报到的取消录用资格。</w:t>
      </w:r>
    </w:p>
    <w:p>
      <w:pPr>
        <w:pStyle w:val="5"/>
        <w:spacing w:before="0" w:beforeAutospacing="0" w:after="0" w:afterAutospacing="0" w:line="360" w:lineRule="auto"/>
        <w:ind w:firstLine="480"/>
        <w:rPr>
          <w:rFonts w:ascii="仿宋_GB2312" w:eastAsia="仿宋_GB2312" w:hAnsiTheme="minorHAnsi" w:cstheme="minorBidi"/>
          <w:kern w:val="2"/>
        </w:rPr>
      </w:pPr>
      <w:r>
        <w:rPr>
          <w:rFonts w:hint="eastAsia" w:ascii="仿宋_GB2312" w:eastAsia="仿宋_GB2312" w:hAnsiTheme="minorHAnsi" w:cstheme="minorBidi"/>
          <w:kern w:val="2"/>
        </w:rPr>
        <w:t>2.如体检、考察过程中出现招聘岗位空缺的,是否在报考该岗位的合格人员中按高分到低分递补经学校讨论上报后,由区教育局、区人力资源和社会保障局审核决定。</w:t>
      </w:r>
    </w:p>
    <w:p>
      <w:pPr>
        <w:pStyle w:val="5"/>
        <w:spacing w:before="0" w:beforeAutospacing="0" w:after="0" w:afterAutospacing="0" w:line="360" w:lineRule="auto"/>
        <w:ind w:firstLine="480"/>
        <w:rPr>
          <w:rFonts w:ascii="仿宋_GB2312" w:eastAsia="仿宋_GB2312" w:hAnsiTheme="minorHAnsi" w:cstheme="minorBidi"/>
          <w:kern w:val="2"/>
        </w:rPr>
      </w:pPr>
      <w:r>
        <w:rPr>
          <w:rFonts w:hint="eastAsia" w:ascii="仿宋_GB2312" w:eastAsia="仿宋_GB2312" w:hAnsiTheme="minorHAnsi" w:cstheme="minorBidi"/>
          <w:kern w:val="2"/>
        </w:rPr>
        <w:t>3.录用人员按有关规定与学校签订聘用合同,并实行为期一年的见习期,见习期满经考核合格,能胜任教育教学工作的,与学校签订正式聘用合同。如见习期满经考核不能胜任教育教学工作或两年内(截止2024年7月31日)不能取得相应教师资格证书的,解除聘用关系。</w:t>
      </w:r>
    </w:p>
    <w:p>
      <w:pPr>
        <w:spacing w:line="360" w:lineRule="auto"/>
        <w:ind w:left="482"/>
        <w:rPr>
          <w:rFonts w:ascii="仿宋_GB2312" w:eastAsia="仿宋_GB2312"/>
          <w:sz w:val="24"/>
          <w:szCs w:val="24"/>
        </w:rPr>
      </w:pPr>
      <w:r>
        <w:rPr>
          <w:rFonts w:hint="eastAsia" w:ascii="仿宋_GB2312" w:eastAsia="仿宋_GB2312"/>
          <w:b/>
          <w:sz w:val="24"/>
          <w:szCs w:val="24"/>
        </w:rPr>
        <w:t>六</w:t>
      </w:r>
      <w:r>
        <w:rPr>
          <w:rFonts w:ascii="仿宋_GB2312" w:eastAsia="仿宋_GB2312"/>
          <w:b/>
          <w:sz w:val="24"/>
          <w:szCs w:val="24"/>
        </w:rPr>
        <w:t>、</w:t>
      </w:r>
      <w:r>
        <w:rPr>
          <w:rFonts w:hint="eastAsia" w:ascii="仿宋_GB2312" w:eastAsia="仿宋_GB2312"/>
          <w:b/>
          <w:sz w:val="24"/>
          <w:szCs w:val="24"/>
        </w:rPr>
        <w:t xml:space="preserve">咨询电话  </w:t>
      </w:r>
      <w:r>
        <w:rPr>
          <w:rFonts w:ascii="仿宋_GB2312" w:eastAsia="仿宋_GB2312"/>
          <w:sz w:val="24"/>
          <w:szCs w:val="24"/>
        </w:rPr>
        <w:t>15957489109</w:t>
      </w:r>
      <w:r>
        <w:rPr>
          <w:rFonts w:hint="eastAsia" w:ascii="仿宋_GB2312" w:eastAsia="仿宋_GB2312"/>
          <w:sz w:val="24"/>
          <w:szCs w:val="24"/>
        </w:rPr>
        <w:t>（王老师）、13891095832（许老师）</w:t>
      </w:r>
    </w:p>
    <w:p>
      <w:pPr>
        <w:spacing w:line="360" w:lineRule="auto"/>
        <w:ind w:left="482"/>
        <w:rPr>
          <w:rFonts w:eastAsia="仿宋_GB2312"/>
          <w:b/>
          <w:sz w:val="24"/>
          <w:szCs w:val="24"/>
        </w:rPr>
      </w:pPr>
      <w:r>
        <w:rPr>
          <w:rFonts w:hint="eastAsia" w:ascii="仿宋_GB2312" w:eastAsia="仿宋_GB2312"/>
          <w:b/>
          <w:sz w:val="24"/>
          <w:szCs w:val="24"/>
        </w:rPr>
        <w:t xml:space="preserve">  </w:t>
      </w:r>
    </w:p>
    <w:p>
      <w:pPr>
        <w:spacing w:line="360" w:lineRule="auto"/>
        <w:rPr>
          <w:rFonts w:ascii="仿宋_GB2312" w:eastAsia="仿宋_GB2312"/>
          <w:sz w:val="24"/>
          <w:szCs w:val="24"/>
        </w:rPr>
      </w:pPr>
      <w:r>
        <w:rPr>
          <w:rFonts w:hint="eastAsia" w:ascii="仿宋_GB2312" w:eastAsia="仿宋_GB2312"/>
          <w:sz w:val="24"/>
          <w:szCs w:val="24"/>
        </w:rPr>
        <w:br w:type="page"/>
      </w:r>
    </w:p>
    <w:p>
      <w:pPr>
        <w:spacing w:line="360" w:lineRule="auto"/>
        <w:rPr>
          <w:rFonts w:ascii="仿宋_GB2312" w:eastAsia="仿宋_GB2312"/>
          <w:sz w:val="24"/>
          <w:szCs w:val="24"/>
        </w:rPr>
      </w:pPr>
      <w:r>
        <w:rPr>
          <w:rFonts w:hint="eastAsia" w:ascii="仿宋_GB2312" w:hAnsi="仿宋_GB2312" w:eastAsia="仿宋_GB2312" w:cs="仿宋_GB2312"/>
          <w:b/>
          <w:bCs/>
          <w:sz w:val="28"/>
          <w:szCs w:val="28"/>
        </w:rPr>
        <w:t>附件1</w:t>
      </w:r>
    </w:p>
    <w:p>
      <w:pPr>
        <w:spacing w:line="360" w:lineRule="auto"/>
        <w:jc w:val="center"/>
        <w:rPr>
          <w:rFonts w:ascii="宋体" w:hAnsi="宋体" w:cs="宋体"/>
          <w:sz w:val="40"/>
          <w:szCs w:val="40"/>
        </w:rPr>
      </w:pPr>
      <w:r>
        <w:rPr>
          <w:rFonts w:hint="eastAsia" w:ascii="宋体" w:hAnsi="宋体" w:cs="宋体"/>
          <w:b/>
          <w:bCs/>
          <w:sz w:val="40"/>
          <w:szCs w:val="40"/>
        </w:rPr>
        <w:t>镇海中学南浔分校202</w:t>
      </w:r>
      <w:r>
        <w:rPr>
          <w:rFonts w:ascii="宋体" w:hAnsi="宋体" w:cs="宋体"/>
          <w:b/>
          <w:bCs/>
          <w:sz w:val="40"/>
          <w:szCs w:val="40"/>
        </w:rPr>
        <w:t>2</w:t>
      </w:r>
      <w:r>
        <w:rPr>
          <w:rFonts w:hint="eastAsia" w:ascii="宋体" w:hAnsi="宋体" w:cs="宋体"/>
          <w:b/>
          <w:bCs/>
          <w:sz w:val="40"/>
          <w:szCs w:val="40"/>
        </w:rPr>
        <w:t>年教师招聘报名表</w:t>
      </w:r>
    </w:p>
    <w:tbl>
      <w:tblPr>
        <w:tblStyle w:val="6"/>
        <w:tblW w:w="100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440"/>
        <w:gridCol w:w="1440"/>
        <w:gridCol w:w="1620"/>
        <w:gridCol w:w="1260"/>
        <w:gridCol w:w="1260"/>
        <w:gridCol w:w="1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1260" w:type="dxa"/>
            <w:vAlign w:val="center"/>
          </w:tcPr>
          <w:p>
            <w:pPr>
              <w:spacing w:line="360" w:lineRule="auto"/>
              <w:jc w:val="center"/>
              <w:rPr>
                <w:sz w:val="24"/>
              </w:rPr>
            </w:pPr>
            <w:r>
              <w:rPr>
                <w:rFonts w:hint="eastAsia"/>
                <w:sz w:val="24"/>
              </w:rPr>
              <w:t>姓名</w:t>
            </w:r>
          </w:p>
        </w:tc>
        <w:tc>
          <w:tcPr>
            <w:tcW w:w="1440" w:type="dxa"/>
            <w:vAlign w:val="center"/>
          </w:tcPr>
          <w:p>
            <w:pPr>
              <w:spacing w:line="360" w:lineRule="auto"/>
              <w:jc w:val="center"/>
              <w:rPr>
                <w:sz w:val="24"/>
              </w:rPr>
            </w:pPr>
          </w:p>
        </w:tc>
        <w:tc>
          <w:tcPr>
            <w:tcW w:w="1440" w:type="dxa"/>
            <w:vAlign w:val="center"/>
          </w:tcPr>
          <w:p>
            <w:pPr>
              <w:spacing w:line="360" w:lineRule="auto"/>
              <w:jc w:val="center"/>
              <w:rPr>
                <w:sz w:val="24"/>
              </w:rPr>
            </w:pPr>
            <w:r>
              <w:rPr>
                <w:rFonts w:hint="eastAsia"/>
                <w:sz w:val="24"/>
              </w:rPr>
              <w:t>性别</w:t>
            </w:r>
          </w:p>
        </w:tc>
        <w:tc>
          <w:tcPr>
            <w:tcW w:w="1620" w:type="dxa"/>
            <w:vAlign w:val="center"/>
          </w:tcPr>
          <w:p>
            <w:pPr>
              <w:spacing w:line="360" w:lineRule="auto"/>
              <w:jc w:val="center"/>
              <w:rPr>
                <w:sz w:val="24"/>
              </w:rPr>
            </w:pPr>
          </w:p>
        </w:tc>
        <w:tc>
          <w:tcPr>
            <w:tcW w:w="1260" w:type="dxa"/>
            <w:vAlign w:val="center"/>
          </w:tcPr>
          <w:p>
            <w:pPr>
              <w:spacing w:line="360" w:lineRule="auto"/>
              <w:jc w:val="center"/>
              <w:rPr>
                <w:sz w:val="24"/>
              </w:rPr>
            </w:pPr>
            <w:r>
              <w:rPr>
                <w:rFonts w:hint="eastAsia"/>
                <w:sz w:val="24"/>
              </w:rPr>
              <w:t>籍贯</w:t>
            </w:r>
          </w:p>
        </w:tc>
        <w:tc>
          <w:tcPr>
            <w:tcW w:w="1260" w:type="dxa"/>
            <w:vAlign w:val="center"/>
          </w:tcPr>
          <w:p>
            <w:pPr>
              <w:spacing w:line="360" w:lineRule="auto"/>
              <w:jc w:val="center"/>
              <w:rPr>
                <w:sz w:val="24"/>
              </w:rPr>
            </w:pPr>
          </w:p>
        </w:tc>
        <w:tc>
          <w:tcPr>
            <w:tcW w:w="1748" w:type="dxa"/>
            <w:vMerge w:val="restart"/>
            <w:vAlign w:val="center"/>
          </w:tcPr>
          <w:p>
            <w:pPr>
              <w:spacing w:line="360" w:lineRule="auto"/>
              <w:ind w:firstLine="480" w:firstLineChars="200"/>
              <w:rPr>
                <w:sz w:val="24"/>
              </w:rPr>
            </w:pPr>
            <w:r>
              <w:rPr>
                <w:rFonts w:hint="eastAsia"/>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jc w:val="center"/>
        </w:trPr>
        <w:tc>
          <w:tcPr>
            <w:tcW w:w="1260" w:type="dxa"/>
            <w:vAlign w:val="center"/>
          </w:tcPr>
          <w:p>
            <w:pPr>
              <w:spacing w:line="360" w:lineRule="auto"/>
              <w:jc w:val="center"/>
              <w:rPr>
                <w:sz w:val="24"/>
              </w:rPr>
            </w:pPr>
            <w:r>
              <w:rPr>
                <w:rFonts w:hint="eastAsia"/>
                <w:sz w:val="24"/>
              </w:rPr>
              <w:t>出生</w:t>
            </w:r>
          </w:p>
          <w:p>
            <w:pPr>
              <w:spacing w:line="360" w:lineRule="auto"/>
              <w:jc w:val="center"/>
              <w:rPr>
                <w:sz w:val="24"/>
              </w:rPr>
            </w:pPr>
            <w:r>
              <w:rPr>
                <w:rFonts w:hint="eastAsia"/>
                <w:sz w:val="24"/>
              </w:rPr>
              <w:t>年月</w:t>
            </w:r>
          </w:p>
        </w:tc>
        <w:tc>
          <w:tcPr>
            <w:tcW w:w="1440" w:type="dxa"/>
            <w:vAlign w:val="center"/>
          </w:tcPr>
          <w:p>
            <w:pPr>
              <w:spacing w:line="360" w:lineRule="auto"/>
              <w:jc w:val="center"/>
              <w:rPr>
                <w:sz w:val="24"/>
              </w:rPr>
            </w:pPr>
          </w:p>
        </w:tc>
        <w:tc>
          <w:tcPr>
            <w:tcW w:w="1440" w:type="dxa"/>
            <w:vAlign w:val="center"/>
          </w:tcPr>
          <w:p>
            <w:pPr>
              <w:spacing w:line="360" w:lineRule="auto"/>
              <w:jc w:val="center"/>
              <w:rPr>
                <w:sz w:val="24"/>
              </w:rPr>
            </w:pPr>
            <w:r>
              <w:rPr>
                <w:rFonts w:hint="eastAsia"/>
                <w:sz w:val="24"/>
              </w:rPr>
              <w:t>政治</w:t>
            </w:r>
          </w:p>
          <w:p>
            <w:pPr>
              <w:spacing w:line="360" w:lineRule="auto"/>
              <w:jc w:val="center"/>
              <w:rPr>
                <w:sz w:val="24"/>
              </w:rPr>
            </w:pPr>
            <w:r>
              <w:rPr>
                <w:rFonts w:hint="eastAsia"/>
                <w:sz w:val="24"/>
              </w:rPr>
              <w:t>面貌</w:t>
            </w:r>
          </w:p>
        </w:tc>
        <w:tc>
          <w:tcPr>
            <w:tcW w:w="1620" w:type="dxa"/>
            <w:vAlign w:val="center"/>
          </w:tcPr>
          <w:p>
            <w:pPr>
              <w:spacing w:line="360" w:lineRule="auto"/>
              <w:jc w:val="center"/>
              <w:rPr>
                <w:sz w:val="24"/>
              </w:rPr>
            </w:pPr>
          </w:p>
        </w:tc>
        <w:tc>
          <w:tcPr>
            <w:tcW w:w="1260" w:type="dxa"/>
            <w:vAlign w:val="center"/>
          </w:tcPr>
          <w:p>
            <w:pPr>
              <w:spacing w:line="360" w:lineRule="auto"/>
              <w:jc w:val="center"/>
              <w:rPr>
                <w:sz w:val="24"/>
              </w:rPr>
            </w:pPr>
            <w:r>
              <w:rPr>
                <w:rFonts w:hint="eastAsia"/>
                <w:sz w:val="24"/>
              </w:rPr>
              <w:t>身高</w:t>
            </w:r>
          </w:p>
        </w:tc>
        <w:tc>
          <w:tcPr>
            <w:tcW w:w="1260" w:type="dxa"/>
            <w:vAlign w:val="center"/>
          </w:tcPr>
          <w:p>
            <w:pPr>
              <w:spacing w:line="360" w:lineRule="auto"/>
              <w:jc w:val="center"/>
              <w:rPr>
                <w:sz w:val="24"/>
              </w:rPr>
            </w:pPr>
          </w:p>
        </w:tc>
        <w:tc>
          <w:tcPr>
            <w:tcW w:w="1748" w:type="dxa"/>
            <w:vMerge w:val="continue"/>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1260" w:type="dxa"/>
            <w:vAlign w:val="center"/>
          </w:tcPr>
          <w:p>
            <w:pPr>
              <w:spacing w:line="360" w:lineRule="auto"/>
              <w:jc w:val="center"/>
              <w:rPr>
                <w:sz w:val="24"/>
              </w:rPr>
            </w:pPr>
            <w:r>
              <w:rPr>
                <w:rFonts w:hint="eastAsia"/>
                <w:sz w:val="24"/>
              </w:rPr>
              <w:t>毕业</w:t>
            </w:r>
          </w:p>
          <w:p>
            <w:pPr>
              <w:spacing w:line="360" w:lineRule="auto"/>
              <w:jc w:val="center"/>
              <w:rPr>
                <w:sz w:val="24"/>
              </w:rPr>
            </w:pPr>
            <w:r>
              <w:rPr>
                <w:rFonts w:hint="eastAsia"/>
                <w:sz w:val="24"/>
              </w:rPr>
              <w:t>院校</w:t>
            </w:r>
          </w:p>
        </w:tc>
        <w:tc>
          <w:tcPr>
            <w:tcW w:w="2880" w:type="dxa"/>
            <w:gridSpan w:val="2"/>
            <w:vAlign w:val="center"/>
          </w:tcPr>
          <w:p>
            <w:pPr>
              <w:spacing w:line="360" w:lineRule="auto"/>
              <w:jc w:val="center"/>
              <w:rPr>
                <w:sz w:val="24"/>
              </w:rPr>
            </w:pPr>
          </w:p>
        </w:tc>
        <w:tc>
          <w:tcPr>
            <w:tcW w:w="1620" w:type="dxa"/>
            <w:vAlign w:val="center"/>
          </w:tcPr>
          <w:p>
            <w:pPr>
              <w:spacing w:line="360" w:lineRule="auto"/>
              <w:jc w:val="center"/>
              <w:rPr>
                <w:sz w:val="24"/>
              </w:rPr>
            </w:pPr>
            <w:r>
              <w:rPr>
                <w:rFonts w:hint="eastAsia"/>
                <w:sz w:val="24"/>
              </w:rPr>
              <w:t>学院及专业</w:t>
            </w:r>
          </w:p>
        </w:tc>
        <w:tc>
          <w:tcPr>
            <w:tcW w:w="2520" w:type="dxa"/>
            <w:gridSpan w:val="2"/>
            <w:vAlign w:val="center"/>
          </w:tcPr>
          <w:p>
            <w:pPr>
              <w:spacing w:line="360" w:lineRule="auto"/>
              <w:jc w:val="center"/>
              <w:rPr>
                <w:sz w:val="24"/>
              </w:rPr>
            </w:pPr>
          </w:p>
        </w:tc>
        <w:tc>
          <w:tcPr>
            <w:tcW w:w="1748" w:type="dxa"/>
            <w:vMerge w:val="continue"/>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1260" w:type="dxa"/>
            <w:vAlign w:val="center"/>
          </w:tcPr>
          <w:p>
            <w:pPr>
              <w:spacing w:line="360" w:lineRule="auto"/>
              <w:jc w:val="center"/>
              <w:rPr>
                <w:sz w:val="24"/>
              </w:rPr>
            </w:pPr>
            <w:r>
              <w:rPr>
                <w:rFonts w:hint="eastAsia"/>
                <w:sz w:val="24"/>
              </w:rPr>
              <w:t>学历</w:t>
            </w:r>
          </w:p>
        </w:tc>
        <w:tc>
          <w:tcPr>
            <w:tcW w:w="1440" w:type="dxa"/>
            <w:vAlign w:val="center"/>
          </w:tcPr>
          <w:p>
            <w:pPr>
              <w:spacing w:line="360" w:lineRule="auto"/>
              <w:jc w:val="center"/>
              <w:rPr>
                <w:sz w:val="24"/>
              </w:rPr>
            </w:pPr>
          </w:p>
        </w:tc>
        <w:tc>
          <w:tcPr>
            <w:tcW w:w="1440" w:type="dxa"/>
            <w:vAlign w:val="center"/>
          </w:tcPr>
          <w:p>
            <w:pPr>
              <w:spacing w:line="360" w:lineRule="auto"/>
              <w:jc w:val="center"/>
              <w:rPr>
                <w:sz w:val="24"/>
              </w:rPr>
            </w:pPr>
            <w:r>
              <w:rPr>
                <w:rFonts w:hint="eastAsia"/>
                <w:sz w:val="24"/>
              </w:rPr>
              <w:t>综合</w:t>
            </w:r>
          </w:p>
          <w:p>
            <w:pPr>
              <w:spacing w:line="360" w:lineRule="auto"/>
              <w:jc w:val="center"/>
              <w:rPr>
                <w:sz w:val="24"/>
              </w:rPr>
            </w:pPr>
            <w:r>
              <w:rPr>
                <w:rFonts w:hint="eastAsia"/>
                <w:sz w:val="24"/>
              </w:rPr>
              <w:t>排名</w:t>
            </w:r>
          </w:p>
        </w:tc>
        <w:tc>
          <w:tcPr>
            <w:tcW w:w="1620" w:type="dxa"/>
            <w:vAlign w:val="center"/>
          </w:tcPr>
          <w:p>
            <w:pPr>
              <w:spacing w:line="360" w:lineRule="auto"/>
              <w:jc w:val="center"/>
              <w:rPr>
                <w:sz w:val="24"/>
              </w:rPr>
            </w:pPr>
          </w:p>
        </w:tc>
        <w:tc>
          <w:tcPr>
            <w:tcW w:w="1260" w:type="dxa"/>
            <w:vAlign w:val="center"/>
          </w:tcPr>
          <w:p>
            <w:pPr>
              <w:spacing w:line="360" w:lineRule="auto"/>
              <w:jc w:val="center"/>
              <w:rPr>
                <w:sz w:val="24"/>
              </w:rPr>
            </w:pPr>
            <w:r>
              <w:rPr>
                <w:rFonts w:hint="eastAsia"/>
                <w:sz w:val="24"/>
              </w:rPr>
              <w:t>专业</w:t>
            </w:r>
          </w:p>
          <w:p>
            <w:pPr>
              <w:spacing w:line="360" w:lineRule="auto"/>
              <w:jc w:val="center"/>
              <w:rPr>
                <w:sz w:val="24"/>
              </w:rPr>
            </w:pPr>
            <w:r>
              <w:rPr>
                <w:rFonts w:hint="eastAsia"/>
                <w:sz w:val="24"/>
              </w:rPr>
              <w:t>排名</w:t>
            </w:r>
          </w:p>
        </w:tc>
        <w:tc>
          <w:tcPr>
            <w:tcW w:w="1260" w:type="dxa"/>
            <w:vAlign w:val="center"/>
          </w:tcPr>
          <w:p>
            <w:pPr>
              <w:spacing w:line="360" w:lineRule="auto"/>
              <w:jc w:val="center"/>
              <w:rPr>
                <w:sz w:val="24"/>
              </w:rPr>
            </w:pPr>
          </w:p>
        </w:tc>
        <w:tc>
          <w:tcPr>
            <w:tcW w:w="1748" w:type="dxa"/>
            <w:vMerge w:val="continue"/>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jc w:val="center"/>
        </w:trPr>
        <w:tc>
          <w:tcPr>
            <w:tcW w:w="1260" w:type="dxa"/>
            <w:vAlign w:val="center"/>
          </w:tcPr>
          <w:p>
            <w:pPr>
              <w:spacing w:line="360" w:lineRule="auto"/>
              <w:jc w:val="center"/>
              <w:rPr>
                <w:sz w:val="24"/>
              </w:rPr>
            </w:pPr>
            <w:r>
              <w:rPr>
                <w:rFonts w:hint="eastAsia"/>
                <w:sz w:val="24"/>
              </w:rPr>
              <w:t>联系电话</w:t>
            </w:r>
          </w:p>
        </w:tc>
        <w:tc>
          <w:tcPr>
            <w:tcW w:w="2880" w:type="dxa"/>
            <w:gridSpan w:val="2"/>
            <w:vAlign w:val="center"/>
          </w:tcPr>
          <w:p>
            <w:pPr>
              <w:spacing w:line="360" w:lineRule="auto"/>
              <w:jc w:val="center"/>
              <w:rPr>
                <w:sz w:val="24"/>
              </w:rPr>
            </w:pPr>
          </w:p>
        </w:tc>
        <w:tc>
          <w:tcPr>
            <w:tcW w:w="1620" w:type="dxa"/>
            <w:vAlign w:val="center"/>
          </w:tcPr>
          <w:p>
            <w:pPr>
              <w:spacing w:line="360" w:lineRule="auto"/>
              <w:jc w:val="center"/>
              <w:rPr>
                <w:sz w:val="24"/>
              </w:rPr>
            </w:pPr>
            <w:r>
              <w:rPr>
                <w:rFonts w:hint="eastAsia"/>
                <w:sz w:val="24"/>
              </w:rPr>
              <w:t>电子邮箱</w:t>
            </w:r>
          </w:p>
        </w:tc>
        <w:tc>
          <w:tcPr>
            <w:tcW w:w="4268" w:type="dxa"/>
            <w:gridSpan w:val="3"/>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260" w:type="dxa"/>
            <w:vAlign w:val="center"/>
          </w:tcPr>
          <w:p>
            <w:pPr>
              <w:spacing w:line="360" w:lineRule="auto"/>
              <w:jc w:val="center"/>
              <w:rPr>
                <w:sz w:val="24"/>
              </w:rPr>
            </w:pPr>
            <w:r>
              <w:rPr>
                <w:rFonts w:hint="eastAsia"/>
                <w:sz w:val="24"/>
              </w:rPr>
              <w:t>高中</w:t>
            </w:r>
          </w:p>
          <w:p>
            <w:pPr>
              <w:spacing w:line="360" w:lineRule="auto"/>
              <w:jc w:val="center"/>
              <w:rPr>
                <w:sz w:val="24"/>
              </w:rPr>
            </w:pPr>
            <w:r>
              <w:rPr>
                <w:rFonts w:hint="eastAsia"/>
                <w:sz w:val="24"/>
              </w:rPr>
              <w:t>毕业学校</w:t>
            </w:r>
          </w:p>
        </w:tc>
        <w:tc>
          <w:tcPr>
            <w:tcW w:w="2880" w:type="dxa"/>
            <w:gridSpan w:val="2"/>
            <w:vAlign w:val="center"/>
          </w:tcPr>
          <w:p>
            <w:pPr>
              <w:spacing w:line="360" w:lineRule="auto"/>
              <w:jc w:val="center"/>
              <w:rPr>
                <w:sz w:val="24"/>
              </w:rPr>
            </w:pPr>
          </w:p>
        </w:tc>
        <w:tc>
          <w:tcPr>
            <w:tcW w:w="1620" w:type="dxa"/>
            <w:vAlign w:val="center"/>
          </w:tcPr>
          <w:p>
            <w:pPr>
              <w:spacing w:line="360" w:lineRule="auto"/>
              <w:jc w:val="center"/>
              <w:rPr>
                <w:sz w:val="24"/>
              </w:rPr>
            </w:pPr>
            <w:r>
              <w:rPr>
                <w:rFonts w:hint="eastAsia"/>
                <w:sz w:val="24"/>
              </w:rPr>
              <w:t>家庭住址</w:t>
            </w:r>
          </w:p>
        </w:tc>
        <w:tc>
          <w:tcPr>
            <w:tcW w:w="4268" w:type="dxa"/>
            <w:gridSpan w:val="3"/>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260" w:type="dxa"/>
            <w:vMerge w:val="restart"/>
            <w:vAlign w:val="center"/>
          </w:tcPr>
          <w:p>
            <w:pPr>
              <w:spacing w:line="360" w:lineRule="auto"/>
              <w:jc w:val="center"/>
              <w:rPr>
                <w:sz w:val="24"/>
              </w:rPr>
            </w:pPr>
            <w:r>
              <w:rPr>
                <w:rFonts w:hint="eastAsia"/>
                <w:sz w:val="24"/>
              </w:rPr>
              <w:t>学习</w:t>
            </w:r>
          </w:p>
          <w:p>
            <w:pPr>
              <w:spacing w:line="360" w:lineRule="auto"/>
              <w:jc w:val="center"/>
              <w:rPr>
                <w:sz w:val="24"/>
              </w:rPr>
            </w:pPr>
            <w:r>
              <w:rPr>
                <w:rFonts w:hint="eastAsia"/>
                <w:sz w:val="24"/>
              </w:rPr>
              <w:t>及</w:t>
            </w:r>
          </w:p>
          <w:p>
            <w:pPr>
              <w:spacing w:line="360" w:lineRule="auto"/>
              <w:jc w:val="center"/>
              <w:rPr>
                <w:sz w:val="24"/>
              </w:rPr>
            </w:pPr>
            <w:r>
              <w:rPr>
                <w:rFonts w:hint="eastAsia"/>
                <w:sz w:val="24"/>
              </w:rPr>
              <w:t>工作</w:t>
            </w:r>
          </w:p>
          <w:p>
            <w:pPr>
              <w:spacing w:line="360" w:lineRule="auto"/>
              <w:jc w:val="center"/>
              <w:rPr>
                <w:sz w:val="24"/>
              </w:rPr>
            </w:pPr>
            <w:r>
              <w:rPr>
                <w:rFonts w:hint="eastAsia"/>
                <w:sz w:val="24"/>
              </w:rPr>
              <w:t>经历</w:t>
            </w:r>
          </w:p>
          <w:p>
            <w:pPr>
              <w:spacing w:line="360" w:lineRule="auto"/>
              <w:jc w:val="center"/>
              <w:rPr>
                <w:sz w:val="24"/>
              </w:rPr>
            </w:pPr>
            <w:r>
              <w:rPr>
                <w:rFonts w:hint="eastAsia"/>
                <w:sz w:val="18"/>
                <w:szCs w:val="18"/>
              </w:rPr>
              <w:t>（自大学起）</w:t>
            </w:r>
          </w:p>
        </w:tc>
        <w:tc>
          <w:tcPr>
            <w:tcW w:w="2880" w:type="dxa"/>
            <w:gridSpan w:val="2"/>
            <w:vAlign w:val="center"/>
          </w:tcPr>
          <w:p>
            <w:pPr>
              <w:spacing w:line="360" w:lineRule="auto"/>
              <w:jc w:val="center"/>
              <w:rPr>
                <w:sz w:val="24"/>
              </w:rPr>
            </w:pPr>
            <w:r>
              <w:rPr>
                <w:rFonts w:hint="eastAsia"/>
                <w:sz w:val="24"/>
              </w:rPr>
              <w:t>时间</w:t>
            </w:r>
          </w:p>
        </w:tc>
        <w:tc>
          <w:tcPr>
            <w:tcW w:w="5888" w:type="dxa"/>
            <w:gridSpan w:val="4"/>
            <w:vAlign w:val="center"/>
          </w:tcPr>
          <w:p>
            <w:pPr>
              <w:spacing w:line="360" w:lineRule="auto"/>
              <w:jc w:val="center"/>
              <w:rPr>
                <w:sz w:val="24"/>
              </w:rPr>
            </w:pPr>
            <w:r>
              <w:rPr>
                <w:rFonts w:hint="eastAsia"/>
                <w:sz w:val="24"/>
              </w:rPr>
              <w:t>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260" w:type="dxa"/>
            <w:vMerge w:val="continue"/>
            <w:vAlign w:val="center"/>
          </w:tcPr>
          <w:p>
            <w:pPr>
              <w:spacing w:line="360" w:lineRule="auto"/>
              <w:jc w:val="center"/>
              <w:rPr>
                <w:sz w:val="24"/>
              </w:rPr>
            </w:pPr>
          </w:p>
        </w:tc>
        <w:tc>
          <w:tcPr>
            <w:tcW w:w="2880" w:type="dxa"/>
            <w:gridSpan w:val="2"/>
            <w:vAlign w:val="center"/>
          </w:tcPr>
          <w:p>
            <w:pPr>
              <w:spacing w:line="360" w:lineRule="auto"/>
              <w:jc w:val="center"/>
              <w:rPr>
                <w:sz w:val="24"/>
              </w:rPr>
            </w:pPr>
          </w:p>
        </w:tc>
        <w:tc>
          <w:tcPr>
            <w:tcW w:w="5888" w:type="dxa"/>
            <w:gridSpan w:val="4"/>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260" w:type="dxa"/>
            <w:vMerge w:val="continue"/>
            <w:vAlign w:val="center"/>
          </w:tcPr>
          <w:p>
            <w:pPr>
              <w:spacing w:line="360" w:lineRule="auto"/>
              <w:jc w:val="center"/>
              <w:rPr>
                <w:sz w:val="24"/>
              </w:rPr>
            </w:pPr>
          </w:p>
        </w:tc>
        <w:tc>
          <w:tcPr>
            <w:tcW w:w="2880" w:type="dxa"/>
            <w:gridSpan w:val="2"/>
            <w:vAlign w:val="center"/>
          </w:tcPr>
          <w:p>
            <w:pPr>
              <w:spacing w:line="360" w:lineRule="auto"/>
              <w:jc w:val="center"/>
              <w:rPr>
                <w:sz w:val="24"/>
              </w:rPr>
            </w:pPr>
          </w:p>
        </w:tc>
        <w:tc>
          <w:tcPr>
            <w:tcW w:w="5888" w:type="dxa"/>
            <w:gridSpan w:val="4"/>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260" w:type="dxa"/>
            <w:vMerge w:val="continue"/>
            <w:vAlign w:val="center"/>
          </w:tcPr>
          <w:p>
            <w:pPr>
              <w:spacing w:line="360" w:lineRule="auto"/>
              <w:jc w:val="center"/>
              <w:rPr>
                <w:sz w:val="24"/>
              </w:rPr>
            </w:pPr>
          </w:p>
        </w:tc>
        <w:tc>
          <w:tcPr>
            <w:tcW w:w="2880" w:type="dxa"/>
            <w:gridSpan w:val="2"/>
            <w:vAlign w:val="center"/>
          </w:tcPr>
          <w:p>
            <w:pPr>
              <w:spacing w:line="360" w:lineRule="auto"/>
              <w:jc w:val="center"/>
              <w:rPr>
                <w:sz w:val="24"/>
              </w:rPr>
            </w:pPr>
          </w:p>
        </w:tc>
        <w:tc>
          <w:tcPr>
            <w:tcW w:w="5888" w:type="dxa"/>
            <w:gridSpan w:val="4"/>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60" w:type="dxa"/>
            <w:vMerge w:val="restart"/>
            <w:vAlign w:val="center"/>
          </w:tcPr>
          <w:p>
            <w:pPr>
              <w:spacing w:line="360" w:lineRule="auto"/>
              <w:jc w:val="center"/>
              <w:rPr>
                <w:sz w:val="24"/>
              </w:rPr>
            </w:pPr>
            <w:r>
              <w:rPr>
                <w:rFonts w:hint="eastAsia"/>
                <w:sz w:val="24"/>
              </w:rPr>
              <w:t>家庭</w:t>
            </w:r>
          </w:p>
          <w:p>
            <w:pPr>
              <w:spacing w:line="360" w:lineRule="auto"/>
              <w:jc w:val="center"/>
              <w:rPr>
                <w:sz w:val="24"/>
              </w:rPr>
            </w:pPr>
            <w:r>
              <w:rPr>
                <w:rFonts w:hint="eastAsia"/>
                <w:sz w:val="24"/>
              </w:rPr>
              <w:t>主要</w:t>
            </w:r>
          </w:p>
          <w:p>
            <w:pPr>
              <w:spacing w:line="360" w:lineRule="auto"/>
              <w:jc w:val="center"/>
              <w:rPr>
                <w:sz w:val="24"/>
              </w:rPr>
            </w:pPr>
            <w:r>
              <w:rPr>
                <w:rFonts w:hint="eastAsia"/>
                <w:sz w:val="24"/>
              </w:rPr>
              <w:t>成员</w:t>
            </w:r>
          </w:p>
        </w:tc>
        <w:tc>
          <w:tcPr>
            <w:tcW w:w="1440" w:type="dxa"/>
            <w:vAlign w:val="center"/>
          </w:tcPr>
          <w:p>
            <w:pPr>
              <w:spacing w:line="360" w:lineRule="auto"/>
              <w:jc w:val="center"/>
              <w:rPr>
                <w:sz w:val="24"/>
              </w:rPr>
            </w:pPr>
            <w:r>
              <w:rPr>
                <w:rFonts w:hint="eastAsia"/>
                <w:sz w:val="24"/>
              </w:rPr>
              <w:t>称呼</w:t>
            </w:r>
          </w:p>
        </w:tc>
        <w:tc>
          <w:tcPr>
            <w:tcW w:w="1440" w:type="dxa"/>
            <w:vAlign w:val="center"/>
          </w:tcPr>
          <w:p>
            <w:pPr>
              <w:spacing w:line="360" w:lineRule="auto"/>
              <w:jc w:val="center"/>
              <w:rPr>
                <w:sz w:val="24"/>
              </w:rPr>
            </w:pPr>
            <w:r>
              <w:rPr>
                <w:rFonts w:hint="eastAsia"/>
                <w:sz w:val="24"/>
              </w:rPr>
              <w:t>姓名</w:t>
            </w:r>
          </w:p>
        </w:tc>
        <w:tc>
          <w:tcPr>
            <w:tcW w:w="1620" w:type="dxa"/>
            <w:vAlign w:val="center"/>
          </w:tcPr>
          <w:p>
            <w:pPr>
              <w:spacing w:line="360" w:lineRule="auto"/>
              <w:jc w:val="center"/>
              <w:rPr>
                <w:sz w:val="24"/>
              </w:rPr>
            </w:pPr>
            <w:r>
              <w:rPr>
                <w:rFonts w:hint="eastAsia"/>
                <w:sz w:val="24"/>
              </w:rPr>
              <w:t>职业</w:t>
            </w:r>
          </w:p>
        </w:tc>
        <w:tc>
          <w:tcPr>
            <w:tcW w:w="4268" w:type="dxa"/>
            <w:gridSpan w:val="3"/>
            <w:vAlign w:val="center"/>
          </w:tcPr>
          <w:p>
            <w:pPr>
              <w:spacing w:line="360" w:lineRule="auto"/>
              <w:jc w:val="center"/>
              <w:rPr>
                <w:sz w:val="24"/>
              </w:rPr>
            </w:pPr>
            <w:r>
              <w:rPr>
                <w:rFonts w:hint="eastAsia"/>
                <w:sz w:val="24"/>
              </w:rPr>
              <w:t>工作地址及单位名称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1260" w:type="dxa"/>
            <w:vMerge w:val="continue"/>
            <w:vAlign w:val="center"/>
          </w:tcPr>
          <w:p>
            <w:pPr>
              <w:spacing w:line="360" w:lineRule="auto"/>
              <w:jc w:val="center"/>
              <w:rPr>
                <w:sz w:val="24"/>
              </w:rPr>
            </w:pPr>
          </w:p>
        </w:tc>
        <w:tc>
          <w:tcPr>
            <w:tcW w:w="1440" w:type="dxa"/>
            <w:vAlign w:val="center"/>
          </w:tcPr>
          <w:p>
            <w:pPr>
              <w:spacing w:line="360" w:lineRule="auto"/>
              <w:jc w:val="center"/>
              <w:rPr>
                <w:sz w:val="24"/>
              </w:rPr>
            </w:pPr>
          </w:p>
        </w:tc>
        <w:tc>
          <w:tcPr>
            <w:tcW w:w="1440" w:type="dxa"/>
            <w:vAlign w:val="center"/>
          </w:tcPr>
          <w:p>
            <w:pPr>
              <w:spacing w:line="360" w:lineRule="auto"/>
              <w:jc w:val="center"/>
              <w:rPr>
                <w:sz w:val="24"/>
              </w:rPr>
            </w:pPr>
          </w:p>
        </w:tc>
        <w:tc>
          <w:tcPr>
            <w:tcW w:w="1620" w:type="dxa"/>
            <w:vAlign w:val="center"/>
          </w:tcPr>
          <w:p>
            <w:pPr>
              <w:spacing w:line="360" w:lineRule="auto"/>
              <w:jc w:val="center"/>
              <w:rPr>
                <w:sz w:val="24"/>
              </w:rPr>
            </w:pPr>
          </w:p>
        </w:tc>
        <w:tc>
          <w:tcPr>
            <w:tcW w:w="4268" w:type="dxa"/>
            <w:gridSpan w:val="3"/>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260" w:type="dxa"/>
            <w:vMerge w:val="continue"/>
            <w:vAlign w:val="center"/>
          </w:tcPr>
          <w:p>
            <w:pPr>
              <w:spacing w:line="360" w:lineRule="auto"/>
              <w:jc w:val="center"/>
              <w:rPr>
                <w:sz w:val="24"/>
              </w:rPr>
            </w:pPr>
          </w:p>
        </w:tc>
        <w:tc>
          <w:tcPr>
            <w:tcW w:w="1440" w:type="dxa"/>
            <w:vAlign w:val="center"/>
          </w:tcPr>
          <w:p>
            <w:pPr>
              <w:spacing w:line="360" w:lineRule="auto"/>
              <w:jc w:val="center"/>
              <w:rPr>
                <w:sz w:val="24"/>
              </w:rPr>
            </w:pPr>
          </w:p>
        </w:tc>
        <w:tc>
          <w:tcPr>
            <w:tcW w:w="1440" w:type="dxa"/>
            <w:vAlign w:val="center"/>
          </w:tcPr>
          <w:p>
            <w:pPr>
              <w:spacing w:line="360" w:lineRule="auto"/>
              <w:jc w:val="center"/>
              <w:rPr>
                <w:sz w:val="24"/>
              </w:rPr>
            </w:pPr>
          </w:p>
        </w:tc>
        <w:tc>
          <w:tcPr>
            <w:tcW w:w="1620" w:type="dxa"/>
            <w:vAlign w:val="center"/>
          </w:tcPr>
          <w:p>
            <w:pPr>
              <w:spacing w:line="360" w:lineRule="auto"/>
              <w:jc w:val="center"/>
              <w:rPr>
                <w:sz w:val="24"/>
              </w:rPr>
            </w:pPr>
          </w:p>
        </w:tc>
        <w:tc>
          <w:tcPr>
            <w:tcW w:w="4268" w:type="dxa"/>
            <w:gridSpan w:val="3"/>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260" w:type="dxa"/>
            <w:vMerge w:val="continue"/>
            <w:vAlign w:val="center"/>
          </w:tcPr>
          <w:p>
            <w:pPr>
              <w:spacing w:line="360" w:lineRule="auto"/>
              <w:jc w:val="center"/>
              <w:rPr>
                <w:sz w:val="24"/>
              </w:rPr>
            </w:pPr>
          </w:p>
        </w:tc>
        <w:tc>
          <w:tcPr>
            <w:tcW w:w="1440" w:type="dxa"/>
            <w:vAlign w:val="center"/>
          </w:tcPr>
          <w:p>
            <w:pPr>
              <w:spacing w:line="360" w:lineRule="auto"/>
              <w:jc w:val="center"/>
              <w:rPr>
                <w:sz w:val="24"/>
              </w:rPr>
            </w:pPr>
          </w:p>
        </w:tc>
        <w:tc>
          <w:tcPr>
            <w:tcW w:w="1440" w:type="dxa"/>
            <w:vAlign w:val="center"/>
          </w:tcPr>
          <w:p>
            <w:pPr>
              <w:spacing w:line="360" w:lineRule="auto"/>
              <w:jc w:val="center"/>
              <w:rPr>
                <w:sz w:val="24"/>
              </w:rPr>
            </w:pPr>
          </w:p>
        </w:tc>
        <w:tc>
          <w:tcPr>
            <w:tcW w:w="1620" w:type="dxa"/>
            <w:vAlign w:val="center"/>
          </w:tcPr>
          <w:p>
            <w:pPr>
              <w:spacing w:line="360" w:lineRule="auto"/>
              <w:jc w:val="center"/>
              <w:rPr>
                <w:sz w:val="24"/>
              </w:rPr>
            </w:pPr>
          </w:p>
        </w:tc>
        <w:tc>
          <w:tcPr>
            <w:tcW w:w="4268" w:type="dxa"/>
            <w:gridSpan w:val="3"/>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9" w:hRule="atLeast"/>
          <w:jc w:val="center"/>
        </w:trPr>
        <w:tc>
          <w:tcPr>
            <w:tcW w:w="1260" w:type="dxa"/>
            <w:vAlign w:val="center"/>
          </w:tcPr>
          <w:p>
            <w:pPr>
              <w:spacing w:line="360" w:lineRule="auto"/>
              <w:jc w:val="center"/>
              <w:rPr>
                <w:sz w:val="24"/>
              </w:rPr>
            </w:pPr>
            <w:r>
              <w:rPr>
                <w:rFonts w:hint="eastAsia"/>
                <w:sz w:val="24"/>
              </w:rPr>
              <w:t>有何</w:t>
            </w:r>
          </w:p>
          <w:p>
            <w:pPr>
              <w:spacing w:line="360" w:lineRule="auto"/>
              <w:jc w:val="center"/>
              <w:rPr>
                <w:sz w:val="24"/>
              </w:rPr>
            </w:pPr>
            <w:r>
              <w:rPr>
                <w:rFonts w:hint="eastAsia"/>
                <w:sz w:val="24"/>
              </w:rPr>
              <w:t>特长及</w:t>
            </w:r>
          </w:p>
          <w:p>
            <w:pPr>
              <w:spacing w:line="360" w:lineRule="auto"/>
              <w:jc w:val="center"/>
              <w:rPr>
                <w:sz w:val="24"/>
              </w:rPr>
            </w:pPr>
            <w:r>
              <w:rPr>
                <w:rFonts w:hint="eastAsia"/>
                <w:sz w:val="24"/>
              </w:rPr>
              <w:t>奖惩情况</w:t>
            </w:r>
          </w:p>
        </w:tc>
        <w:tc>
          <w:tcPr>
            <w:tcW w:w="8768" w:type="dxa"/>
            <w:gridSpan w:val="6"/>
            <w:vAlign w:val="center"/>
          </w:tcPr>
          <w:p>
            <w:pPr>
              <w:spacing w:line="360" w:lineRule="auto"/>
              <w:jc w:val="left"/>
              <w:rPr>
                <w:rFonts w:ascii="宋体" w:hAnsi="宋体"/>
                <w:sz w:val="24"/>
              </w:rPr>
            </w:pPr>
          </w:p>
        </w:tc>
      </w:tr>
    </w:tbl>
    <w:p>
      <w:pPr>
        <w:spacing w:line="360" w:lineRule="auto"/>
        <w:jc w:val="left"/>
        <w:rPr>
          <w:rFonts w:ascii="仿宋_GB2312" w:eastAsia="仿宋_GB2312"/>
          <w:szCs w:val="21"/>
        </w:rPr>
      </w:pPr>
      <w:r>
        <w:rPr>
          <w:rFonts w:hint="eastAsia" w:ascii="仿宋_GB2312" w:eastAsia="仿宋_GB2312"/>
          <w:szCs w:val="21"/>
        </w:rPr>
        <w:t>说明</w:t>
      </w:r>
      <w:r>
        <w:rPr>
          <w:rFonts w:hint="eastAsia" w:ascii="仿宋_GB2312" w:eastAsia="仿宋_GB2312"/>
          <w:b/>
          <w:szCs w:val="21"/>
        </w:rPr>
        <w:t>：</w:t>
      </w:r>
      <w:r>
        <w:rPr>
          <w:rFonts w:hint="eastAsia" w:ascii="仿宋_GB2312" w:eastAsia="仿宋_GB2312"/>
          <w:szCs w:val="21"/>
        </w:rPr>
        <w:t>1.此表用黑色水钢笔或圆珠笔填写。</w:t>
      </w:r>
    </w:p>
    <w:p>
      <w:pPr>
        <w:spacing w:line="360" w:lineRule="auto"/>
        <w:ind w:firstLine="630" w:firstLineChars="300"/>
        <w:jc w:val="left"/>
        <w:rPr>
          <w:rFonts w:ascii="仿宋_GB2312" w:eastAsia="仿宋_GB2312"/>
          <w:szCs w:val="21"/>
        </w:rPr>
      </w:pPr>
      <w:r>
        <w:rPr>
          <w:rFonts w:hint="eastAsia" w:ascii="仿宋_GB2312" w:eastAsia="仿宋_GB2312"/>
          <w:szCs w:val="21"/>
        </w:rPr>
        <w:t>2.此表复印有效。</w:t>
      </w:r>
    </w:p>
    <w:p>
      <w:pPr>
        <w:spacing w:line="360" w:lineRule="auto"/>
        <w:jc w:val="left"/>
        <w:rPr>
          <w:rFonts w:ascii="仿宋_GB2312" w:eastAsia="仿宋_GB2312"/>
          <w:b/>
          <w:bCs/>
          <w:sz w:val="28"/>
          <w:szCs w:val="28"/>
        </w:rPr>
      </w:pPr>
      <w:r>
        <w:rPr>
          <w:rFonts w:hint="eastAsia" w:ascii="仿宋_GB2312" w:eastAsia="仿宋_GB2312"/>
          <w:b/>
          <w:bCs/>
          <w:sz w:val="28"/>
          <w:szCs w:val="28"/>
        </w:rPr>
        <w:t>附件2</w:t>
      </w:r>
    </w:p>
    <w:p>
      <w:pPr>
        <w:spacing w:line="360" w:lineRule="auto"/>
        <w:jc w:val="left"/>
        <w:rPr>
          <w:rFonts w:ascii="华文中宋" w:hAnsi="华文中宋" w:eastAsia="华文中宋" w:cs="华文中宋"/>
          <w:b/>
          <w:bCs/>
          <w:sz w:val="36"/>
          <w:szCs w:val="36"/>
        </w:rPr>
      </w:pPr>
    </w:p>
    <w:p>
      <w:pPr>
        <w:spacing w:line="360" w:lineRule="auto"/>
        <w:jc w:val="center"/>
        <w:rPr>
          <w:rFonts w:ascii="宋体" w:hAnsi="宋体" w:cs="宋体"/>
          <w:b/>
          <w:bCs/>
          <w:sz w:val="40"/>
          <w:szCs w:val="40"/>
        </w:rPr>
      </w:pPr>
      <w:r>
        <w:rPr>
          <w:rFonts w:hint="eastAsia" w:ascii="宋体" w:hAnsi="宋体" w:cs="宋体"/>
          <w:b/>
          <w:bCs/>
          <w:sz w:val="40"/>
          <w:szCs w:val="40"/>
        </w:rPr>
        <w:t>报名材料清单</w:t>
      </w:r>
    </w:p>
    <w:p>
      <w:pPr>
        <w:spacing w:line="360" w:lineRule="auto"/>
        <w:jc w:val="center"/>
        <w:rPr>
          <w:rFonts w:ascii="宋体" w:hAnsi="宋体" w:cs="宋体"/>
          <w:b/>
          <w:bCs/>
          <w:sz w:val="28"/>
          <w:szCs w:val="28"/>
        </w:rPr>
      </w:pPr>
    </w:p>
    <w:p>
      <w:pPr>
        <w:spacing w:line="360" w:lineRule="auto"/>
        <w:ind w:firstLine="480" w:firstLineChars="200"/>
        <w:rPr>
          <w:rFonts w:ascii="宋体" w:hAnsi="宋体" w:cs="宋体"/>
          <w:sz w:val="24"/>
        </w:rPr>
      </w:pPr>
      <w:r>
        <w:rPr>
          <w:rFonts w:hint="eastAsia" w:ascii="宋体" w:hAnsi="宋体" w:cs="宋体"/>
          <w:sz w:val="24"/>
        </w:rPr>
        <w:t>1．镇海中学南浔分校202</w:t>
      </w:r>
      <w:r>
        <w:rPr>
          <w:rFonts w:ascii="宋体" w:hAnsi="宋体" w:cs="宋体"/>
          <w:sz w:val="24"/>
        </w:rPr>
        <w:t>2</w:t>
      </w:r>
      <w:r>
        <w:rPr>
          <w:rFonts w:hint="eastAsia" w:ascii="宋体" w:hAnsi="宋体" w:cs="宋体"/>
          <w:sz w:val="24"/>
        </w:rPr>
        <w:t>年教师招聘报名表；</w:t>
      </w:r>
    </w:p>
    <w:p>
      <w:pPr>
        <w:spacing w:line="360" w:lineRule="auto"/>
        <w:ind w:firstLine="480" w:firstLineChars="200"/>
        <w:rPr>
          <w:rFonts w:ascii="宋体" w:hAnsi="宋体" w:eastAsia="宋体" w:cs="宋体"/>
          <w:sz w:val="24"/>
          <w:szCs w:val="24"/>
        </w:rPr>
      </w:pPr>
      <w:r>
        <w:rPr>
          <w:rFonts w:hint="eastAsia" w:ascii="宋体" w:hAnsi="宋体" w:cs="宋体"/>
          <w:sz w:val="24"/>
        </w:rPr>
        <w:t>2．身份证（正反面）、户口簿（首页、户主页、本人页）、学生证等证件复印件；</w:t>
      </w:r>
    </w:p>
    <w:p>
      <w:pPr>
        <w:spacing w:line="360" w:lineRule="auto"/>
        <w:ind w:firstLine="480" w:firstLineChars="200"/>
        <w:rPr>
          <w:rFonts w:ascii="宋体" w:hAnsi="宋体" w:cs="宋体"/>
          <w:sz w:val="24"/>
        </w:rPr>
      </w:pPr>
      <w:r>
        <w:rPr>
          <w:rFonts w:hint="eastAsia" w:ascii="宋体" w:hAnsi="宋体" w:cs="宋体"/>
          <w:sz w:val="24"/>
        </w:rPr>
        <w:t>3．学历、专业证明的复印件；</w:t>
      </w:r>
    </w:p>
    <w:p>
      <w:pPr>
        <w:spacing w:line="360" w:lineRule="auto"/>
        <w:ind w:firstLine="480" w:firstLineChars="200"/>
        <w:rPr>
          <w:rFonts w:ascii="宋体" w:hAnsi="宋体" w:cs="宋体"/>
          <w:sz w:val="24"/>
        </w:rPr>
      </w:pPr>
      <w:r>
        <w:rPr>
          <w:rFonts w:hint="eastAsia" w:ascii="宋体" w:hAnsi="宋体" w:cs="宋体"/>
          <w:sz w:val="24"/>
        </w:rPr>
        <w:t>4. 普通话等级证书、教师资格证（尚未拿到教师资格证的可提供国考成绩单）；</w:t>
      </w:r>
    </w:p>
    <w:p>
      <w:pPr>
        <w:spacing w:line="360" w:lineRule="auto"/>
        <w:ind w:firstLine="480" w:firstLineChars="200"/>
        <w:rPr>
          <w:rFonts w:ascii="宋体" w:hAnsi="宋体" w:cs="宋体"/>
          <w:sz w:val="24"/>
        </w:rPr>
      </w:pPr>
      <w:r>
        <w:rPr>
          <w:rFonts w:hint="eastAsia" w:ascii="宋体" w:hAnsi="宋体" w:cs="宋体"/>
          <w:sz w:val="24"/>
        </w:rPr>
        <w:t>5．高校期间获得的省优、校优、三好学生、各类奖学金、学子英才奖、各类各级竞赛等获奖证书、学习成果及其他能证明符合报名条件材料的复印件或学校证明。</w:t>
      </w:r>
    </w:p>
    <w:p>
      <w:pPr>
        <w:spacing w:line="360" w:lineRule="auto"/>
        <w:ind w:firstLine="600" w:firstLineChars="200"/>
        <w:rPr>
          <w:sz w:val="30"/>
          <w:szCs w:val="30"/>
        </w:rPr>
      </w:pPr>
    </w:p>
    <w:sectPr>
      <w:pgSz w:w="11906" w:h="16838"/>
      <w:pgMar w:top="1304" w:right="1800" w:bottom="130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475B5"/>
    <w:rsid w:val="00000B71"/>
    <w:rsid w:val="00004CD1"/>
    <w:rsid w:val="00023067"/>
    <w:rsid w:val="000358E3"/>
    <w:rsid w:val="000475B5"/>
    <w:rsid w:val="00051631"/>
    <w:rsid w:val="00061298"/>
    <w:rsid w:val="00066F38"/>
    <w:rsid w:val="00067382"/>
    <w:rsid w:val="000745D4"/>
    <w:rsid w:val="00076721"/>
    <w:rsid w:val="0007793F"/>
    <w:rsid w:val="00087477"/>
    <w:rsid w:val="00093DC7"/>
    <w:rsid w:val="000D6631"/>
    <w:rsid w:val="0015173A"/>
    <w:rsid w:val="00162430"/>
    <w:rsid w:val="00182EA5"/>
    <w:rsid w:val="001A7CFF"/>
    <w:rsid w:val="001B62A2"/>
    <w:rsid w:val="001D6A25"/>
    <w:rsid w:val="001F21CD"/>
    <w:rsid w:val="002117FE"/>
    <w:rsid w:val="00236AFD"/>
    <w:rsid w:val="002871EE"/>
    <w:rsid w:val="002A19AF"/>
    <w:rsid w:val="0036140C"/>
    <w:rsid w:val="003726FE"/>
    <w:rsid w:val="0037797D"/>
    <w:rsid w:val="003B5657"/>
    <w:rsid w:val="0040013A"/>
    <w:rsid w:val="00404AAF"/>
    <w:rsid w:val="004062FF"/>
    <w:rsid w:val="00457937"/>
    <w:rsid w:val="00464A1F"/>
    <w:rsid w:val="00467B08"/>
    <w:rsid w:val="00484361"/>
    <w:rsid w:val="00492DED"/>
    <w:rsid w:val="004A35B3"/>
    <w:rsid w:val="004E1BCC"/>
    <w:rsid w:val="004E5B11"/>
    <w:rsid w:val="0050646D"/>
    <w:rsid w:val="00511BDF"/>
    <w:rsid w:val="00513B99"/>
    <w:rsid w:val="00530771"/>
    <w:rsid w:val="005548A8"/>
    <w:rsid w:val="0056000C"/>
    <w:rsid w:val="00561E07"/>
    <w:rsid w:val="00585DE6"/>
    <w:rsid w:val="005D19DA"/>
    <w:rsid w:val="005E2030"/>
    <w:rsid w:val="00600E9F"/>
    <w:rsid w:val="0061546B"/>
    <w:rsid w:val="0061777E"/>
    <w:rsid w:val="006223C7"/>
    <w:rsid w:val="00661633"/>
    <w:rsid w:val="00661D6D"/>
    <w:rsid w:val="00663361"/>
    <w:rsid w:val="00666585"/>
    <w:rsid w:val="006E216E"/>
    <w:rsid w:val="006F052B"/>
    <w:rsid w:val="0070087A"/>
    <w:rsid w:val="00711347"/>
    <w:rsid w:val="00721DE6"/>
    <w:rsid w:val="00755B20"/>
    <w:rsid w:val="007740CE"/>
    <w:rsid w:val="007A2C84"/>
    <w:rsid w:val="007B50E6"/>
    <w:rsid w:val="007B6A0E"/>
    <w:rsid w:val="007C142C"/>
    <w:rsid w:val="0084129B"/>
    <w:rsid w:val="0084740B"/>
    <w:rsid w:val="00857862"/>
    <w:rsid w:val="00862972"/>
    <w:rsid w:val="00862D12"/>
    <w:rsid w:val="0088244C"/>
    <w:rsid w:val="00897A45"/>
    <w:rsid w:val="008B4D41"/>
    <w:rsid w:val="008C21B9"/>
    <w:rsid w:val="008E7EFC"/>
    <w:rsid w:val="00903D30"/>
    <w:rsid w:val="00920F98"/>
    <w:rsid w:val="00926E5F"/>
    <w:rsid w:val="00947135"/>
    <w:rsid w:val="009705C5"/>
    <w:rsid w:val="009B5A26"/>
    <w:rsid w:val="009C079E"/>
    <w:rsid w:val="00A05D00"/>
    <w:rsid w:val="00A3048E"/>
    <w:rsid w:val="00A44886"/>
    <w:rsid w:val="00A8602A"/>
    <w:rsid w:val="00AC65A3"/>
    <w:rsid w:val="00AD4B71"/>
    <w:rsid w:val="00AE452A"/>
    <w:rsid w:val="00B0580D"/>
    <w:rsid w:val="00B13F24"/>
    <w:rsid w:val="00B34E06"/>
    <w:rsid w:val="00B53F20"/>
    <w:rsid w:val="00BE2FD5"/>
    <w:rsid w:val="00C151EF"/>
    <w:rsid w:val="00C16C93"/>
    <w:rsid w:val="00C9407E"/>
    <w:rsid w:val="00C95739"/>
    <w:rsid w:val="00CB057F"/>
    <w:rsid w:val="00CC255A"/>
    <w:rsid w:val="00D664C9"/>
    <w:rsid w:val="00D87444"/>
    <w:rsid w:val="00DB1E56"/>
    <w:rsid w:val="00DC0499"/>
    <w:rsid w:val="00DD607D"/>
    <w:rsid w:val="00DD6BE3"/>
    <w:rsid w:val="00E10B51"/>
    <w:rsid w:val="00E124A0"/>
    <w:rsid w:val="00E2373B"/>
    <w:rsid w:val="00E43684"/>
    <w:rsid w:val="00E621FE"/>
    <w:rsid w:val="00E75B32"/>
    <w:rsid w:val="00E87EC4"/>
    <w:rsid w:val="00E901D8"/>
    <w:rsid w:val="00E915F3"/>
    <w:rsid w:val="00EA3A4A"/>
    <w:rsid w:val="00EC4D1B"/>
    <w:rsid w:val="00ED2F06"/>
    <w:rsid w:val="00EE1363"/>
    <w:rsid w:val="00EF0F7E"/>
    <w:rsid w:val="00EF7BCC"/>
    <w:rsid w:val="00F0169E"/>
    <w:rsid w:val="00F053FE"/>
    <w:rsid w:val="00F06B90"/>
    <w:rsid w:val="00F07C3F"/>
    <w:rsid w:val="00F23A10"/>
    <w:rsid w:val="00F4700B"/>
    <w:rsid w:val="00FA2CD4"/>
    <w:rsid w:val="00FF42FB"/>
    <w:rsid w:val="06B26ED6"/>
    <w:rsid w:val="10E26112"/>
    <w:rsid w:val="14B638CC"/>
    <w:rsid w:val="1D991E80"/>
    <w:rsid w:val="1F754287"/>
    <w:rsid w:val="24145FD6"/>
    <w:rsid w:val="26CD06C6"/>
    <w:rsid w:val="2BD4581F"/>
    <w:rsid w:val="2C196A87"/>
    <w:rsid w:val="31FA5BC4"/>
    <w:rsid w:val="3A0B206C"/>
    <w:rsid w:val="46000B03"/>
    <w:rsid w:val="5A394804"/>
    <w:rsid w:val="619873DF"/>
    <w:rsid w:val="61AC3DB4"/>
    <w:rsid w:val="63FD0C18"/>
    <w:rsid w:val="646C240F"/>
    <w:rsid w:val="697A6A2A"/>
    <w:rsid w:val="6ADC6DF3"/>
    <w:rsid w:val="6E4458D4"/>
    <w:rsid w:val="7BA270D1"/>
    <w:rsid w:val="7F3941B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5"/>
    <w:semiHidden/>
    <w:unhideWhenUsed/>
    <w:qFormat/>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Hyperlink"/>
    <w:basedOn w:val="8"/>
    <w:unhideWhenUsed/>
    <w:qFormat/>
    <w:uiPriority w:val="99"/>
    <w:rPr>
      <w:color w:val="0000FF" w:themeColor="hyperlink"/>
      <w:u w:val="single"/>
    </w:rPr>
  </w:style>
  <w:style w:type="paragraph" w:styleId="11">
    <w:name w:val="List Paragraph"/>
    <w:basedOn w:val="1"/>
    <w:qFormat/>
    <w:uiPriority w:val="34"/>
    <w:pPr>
      <w:ind w:firstLine="420" w:firstLineChars="200"/>
    </w:pPr>
  </w:style>
  <w:style w:type="character" w:customStyle="1" w:styleId="12">
    <w:name w:val="页眉 字符"/>
    <w:basedOn w:val="8"/>
    <w:link w:val="4"/>
    <w:qFormat/>
    <w:uiPriority w:val="99"/>
    <w:rPr>
      <w:sz w:val="18"/>
      <w:szCs w:val="18"/>
    </w:rPr>
  </w:style>
  <w:style w:type="character" w:customStyle="1" w:styleId="13">
    <w:name w:val="页脚 字符"/>
    <w:basedOn w:val="8"/>
    <w:link w:val="3"/>
    <w:qFormat/>
    <w:uiPriority w:val="99"/>
    <w:rPr>
      <w:sz w:val="18"/>
      <w:szCs w:val="18"/>
    </w:rPr>
  </w:style>
  <w:style w:type="character" w:customStyle="1" w:styleId="14">
    <w:name w:val="NormalCharacter"/>
    <w:semiHidden/>
    <w:qFormat/>
    <w:uiPriority w:val="0"/>
  </w:style>
  <w:style w:type="character" w:customStyle="1" w:styleId="15">
    <w:name w:val="批注框文本 字符"/>
    <w:basedOn w:val="8"/>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513</Words>
  <Characters>2926</Characters>
  <Lines>24</Lines>
  <Paragraphs>6</Paragraphs>
  <TotalTime>176</TotalTime>
  <ScaleCrop>false</ScaleCrop>
  <LinksUpToDate>false</LinksUpToDate>
  <CharactersWithSpaces>3433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2018-10-23T23:25:00Z</dcterms:created>
  <dc:creator>信息中心</dc:creator>
  <cp:lastModifiedBy>Admin</cp:lastModifiedBy>
  <cp:lastPrinted>2021-08-16T09:08:00Z</cp:lastPrinted>
  <dcterms:modified xsi:type="dcterms:W3CDTF">2021-09-09T03:49:28Z</dcterms:modified>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7B10531936CB434B8157E78E96860A10</vt:lpwstr>
  </property>
</Properties>
</file>