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金华智尚人才开发有限公司招聘派遣制工作人员需求情况表</w:t>
      </w:r>
    </w:p>
    <w:tbl>
      <w:tblPr>
        <w:tblW w:w="14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40"/>
        <w:gridCol w:w="900"/>
        <w:gridCol w:w="3420"/>
        <w:gridCol w:w="795"/>
        <w:gridCol w:w="6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要求</w:t>
            </w:r>
          </w:p>
        </w:tc>
        <w:tc>
          <w:tcPr>
            <w:tcW w:w="3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户籍</w:t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范围</w:t>
            </w:r>
          </w:p>
        </w:tc>
        <w:tc>
          <w:tcPr>
            <w:tcW w:w="6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其他要求和有关说明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招商引资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大专及以上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经济学类、管理学类相关专业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具有2年及以上工作经验。</w:t>
            </w:r>
            <w:r>
              <w:rPr>
                <w:rStyle w:val="4"/>
                <w:rFonts w:hint="default" w:ascii="仿宋_GB2312" w:hAnsi="Times New Roman" w:eastAsia="仿宋_GB2312" w:cs="仿宋_GB2312"/>
                <w:b/>
                <w:sz w:val="20"/>
                <w:szCs w:val="20"/>
                <w:bdr w:val="none" w:color="auto" w:sz="0" w:space="0"/>
                <w:vertAlign w:val="baseline"/>
              </w:rPr>
              <w:t>本岗位执行基本工资+提成薪酬制度。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速记员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具有2年及以上工作经验。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综合文字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法学类，汉语言文学、新闻学专业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1.有在省级刊物发表评论性文章或具有2年及以上综合文字方面工作经历。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2.具有3年及以上新闻、专题报道和活动策划工作经历执行</w:t>
            </w:r>
            <w:r>
              <w:rPr>
                <w:rStyle w:val="4"/>
                <w:rFonts w:hint="default" w:ascii="仿宋_GB2312" w:hAnsi="Times New Roman" w:eastAsia="仿宋_GB2312" w:cs="仿宋_GB2312"/>
                <w:b/>
                <w:sz w:val="20"/>
                <w:szCs w:val="20"/>
                <w:bdr w:val="none" w:color="auto" w:sz="0" w:space="0"/>
                <w:vertAlign w:val="baseline"/>
              </w:rPr>
              <w:t>年薪制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（4名）。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综合管理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具有2年及以上工作经验。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经济管理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经济学类、管理学类相关专业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具有2年及以上经济方面工作经验。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农业管理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农学类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具有2年及以上农业相关工作经历。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投融资管理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金融学类、国际经济与贸易类专业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1.具有3年及以上投融资工作经历。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2.具有会计师或经济师及以上职称，薪酬待遇执行</w:t>
            </w:r>
            <w:r>
              <w:rPr>
                <w:rStyle w:val="4"/>
                <w:rFonts w:hint="default" w:ascii="仿宋_GB2312" w:hAnsi="Times New Roman" w:eastAsia="仿宋_GB2312" w:cs="仿宋_GB2312"/>
                <w:b/>
                <w:sz w:val="20"/>
                <w:szCs w:val="20"/>
                <w:bdr w:val="none" w:color="auto" w:sz="0" w:space="0"/>
                <w:vertAlign w:val="baseline"/>
              </w:rPr>
              <w:t>年薪制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（1名）。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财务管理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会计学、财务管理类、审计学、统计学等相关专业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1.具有2年及以上财务管理等相关工作经历。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2.具有会计师或审计师及以上职称，薪酬待遇执行</w:t>
            </w:r>
            <w:r>
              <w:rPr>
                <w:rStyle w:val="4"/>
                <w:rFonts w:hint="default" w:ascii="仿宋_GB2312" w:hAnsi="Times New Roman" w:eastAsia="仿宋_GB2312" w:cs="仿宋_GB2312"/>
                <w:b/>
                <w:sz w:val="20"/>
                <w:szCs w:val="20"/>
                <w:bdr w:val="none" w:color="auto" w:sz="0" w:space="0"/>
                <w:vertAlign w:val="baseline"/>
              </w:rPr>
              <w:t>年薪制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（1名）。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法务人员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法律等相关专业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具有2年及以上法律工作经历，并通过国家统一司法考试，取得A类、B类法律职业资格证书，薪酬待遇执行</w:t>
            </w:r>
            <w:r>
              <w:rPr>
                <w:rStyle w:val="4"/>
                <w:rFonts w:hint="default" w:ascii="仿宋_GB2312" w:hAnsi="Times New Roman" w:eastAsia="仿宋_GB2312" w:cs="仿宋_GB2312"/>
                <w:b/>
                <w:sz w:val="20"/>
                <w:szCs w:val="20"/>
                <w:bdr w:val="none" w:color="auto" w:sz="0" w:space="0"/>
                <w:vertAlign w:val="baseline"/>
              </w:rPr>
              <w:t>年薪制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人力资源管理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人力资源管理、法学等相关专业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工程管理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0"/>
                <w:szCs w:val="20"/>
                <w:bdr w:val="none" w:color="auto" w:sz="0" w:space="0"/>
                <w:vertAlign w:val="baseline"/>
              </w:rPr>
              <w:t>建筑学、土木工程、园林等相关专业</w:t>
            </w: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具有2年及以上工程管理等相关工作经验，并取得工程师及以上职称，薪酬待遇执行</w:t>
            </w:r>
            <w:r>
              <w:rPr>
                <w:rStyle w:val="4"/>
                <w:rFonts w:hint="default" w:ascii="仿宋_GB2312" w:hAnsi="Times New Roman" w:eastAsia="仿宋_GB2312" w:cs="仿宋_GB2312"/>
                <w:b/>
                <w:sz w:val="20"/>
                <w:szCs w:val="20"/>
                <w:bdr w:val="none" w:color="auto" w:sz="0" w:space="0"/>
                <w:vertAlign w:val="baseline"/>
              </w:rPr>
              <w:t>年薪制</w:t>
            </w:r>
            <w:r>
              <w:rPr>
                <w:rFonts w:hint="default" w:ascii="仿宋_GB2312" w:hAnsi="Times New Roman" w:eastAsia="仿宋_GB2312" w:cs="仿宋_GB2312"/>
                <w:sz w:val="20"/>
                <w:szCs w:val="20"/>
                <w:bdr w:val="none" w:color="auto" w:sz="0" w:space="0"/>
                <w:vertAlign w:val="baseli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94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sz w:val="21"/>
                <w:szCs w:val="21"/>
                <w:bdr w:val="none" w:color="auto" w:sz="0" w:space="0"/>
                <w:vertAlign w:val="baseline"/>
              </w:rPr>
              <w:t>以上任职时间、工作年限、年龄均计算到报名日。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435DC"/>
    <w:rsid w:val="4B543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2017-10-25T05:43:00Z</dcterms:created>
  <dc:creator>ASUS</dc:creator>
  <cp:lastModifiedBy>ASUS</cp:lastModifiedBy>
  <dcterms:modified xsi:type="dcterms:W3CDTF">2017-10-25T05:43:25Z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