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  <w:shd w:val="clear" w:fill="FFFFFF"/>
        </w:rPr>
        <w:t>第三批考察对象</w:t>
      </w:r>
      <w:bookmarkStart w:id="0" w:name="_GoBack"/>
      <w:bookmarkEnd w:id="0"/>
    </w:p>
    <w:tbl>
      <w:tblPr>
        <w:tblW w:w="6007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1890"/>
        <w:gridCol w:w="951"/>
        <w:gridCol w:w="10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报考单位</w:t>
            </w:r>
          </w:p>
        </w:tc>
        <w:tc>
          <w:tcPr>
            <w:tcW w:w="18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报考职位</w:t>
            </w: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0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招考人数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象山县市场监督管理局</w:t>
            </w:r>
          </w:p>
        </w:tc>
        <w:tc>
          <w:tcPr>
            <w:tcW w:w="18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药品管理</w:t>
            </w: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王雯</w:t>
            </w:r>
          </w:p>
        </w:tc>
        <w:tc>
          <w:tcPr>
            <w:tcW w:w="10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D22CC"/>
    <w:rsid w:val="573D2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2017-09-13T06:56:00Z</dcterms:created>
  <dc:creator>ASUS</dc:creator>
  <cp:lastModifiedBy>ASUS</cp:lastModifiedBy>
  <dcterms:modified xsi:type="dcterms:W3CDTF">2017-09-13T06:57:27Z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