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1"/>
          <w:szCs w:val="21"/>
          <w:shd w:val="clear" w:fill="FFFFFF"/>
        </w:rPr>
        <w:t>岗位要求</w:t>
      </w:r>
    </w:p>
    <w:tbl>
      <w:tblPr>
        <w:tblW w:w="8305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382"/>
        <w:gridCol w:w="3760"/>
        <w:gridCol w:w="16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岗位名称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招聘人数</w:t>
            </w:r>
          </w:p>
        </w:tc>
        <w:tc>
          <w:tcPr>
            <w:tcW w:w="37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岗位要求</w:t>
            </w:r>
          </w:p>
        </w:tc>
        <w:tc>
          <w:tcPr>
            <w:tcW w:w="1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党政综合办公室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7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文秘、新闻学、汉语言、汉语言文学等相关专业，具有较强的文字功底，具有三年及以上工作经历（需提供工作经历证明）</w:t>
            </w:r>
          </w:p>
        </w:tc>
        <w:tc>
          <w:tcPr>
            <w:tcW w:w="166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“四个平台”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7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全日制法学相关专业</w:t>
            </w:r>
          </w:p>
        </w:tc>
        <w:tc>
          <w:tcPr>
            <w:tcW w:w="166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城市管理办公室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7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文科类相关专业，具有三年及以上工作经历（需提供工作经历证明）</w:t>
            </w:r>
          </w:p>
        </w:tc>
        <w:tc>
          <w:tcPr>
            <w:tcW w:w="166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党群服务中心（便民服务中心）A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7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全日制法学相关专业</w:t>
            </w:r>
          </w:p>
        </w:tc>
        <w:tc>
          <w:tcPr>
            <w:tcW w:w="166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党群服务中心（便民服务中心）B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1</w:t>
            </w:r>
          </w:p>
        </w:tc>
        <w:tc>
          <w:tcPr>
            <w:tcW w:w="37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  <w:t>经济类相关专业，具有三年及以上工作经历（需提供工作经历证明）</w:t>
            </w:r>
          </w:p>
        </w:tc>
        <w:tc>
          <w:tcPr>
            <w:tcW w:w="166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93939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A47D0"/>
    <w:rsid w:val="66E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2018-08-07T09:32:00Z</dcterms:created>
  <dc:creator>向青釉</dc:creator>
  <cp:lastModifiedBy>向青釉</cp:lastModifiedBy>
  <dcterms:modified xsi:type="dcterms:W3CDTF">2018-08-07T12:09:08Z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