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000000"/>
          <w:spacing w:val="0"/>
          <w:sz w:val="20"/>
          <w:szCs w:val="20"/>
          <w:shd w:val="clear" w:fill="FFFFFF"/>
        </w:rPr>
      </w:pPr>
      <w:r>
        <w:rPr>
          <w:rFonts w:hint="eastAsia" w:ascii="宋体" w:hAnsi="宋体" w:eastAsia="宋体" w:cs="宋体"/>
          <w:b/>
          <w:i w:val="0"/>
          <w:caps w:val="0"/>
          <w:color w:val="000000"/>
          <w:spacing w:val="0"/>
          <w:sz w:val="20"/>
          <w:szCs w:val="20"/>
          <w:shd w:val="clear" w:fill="FFFFFF"/>
        </w:rPr>
        <w:t>浙江省湖州市南浔区第十一批事业单位高层次人才招聘入围体检人员名单</w:t>
      </w:r>
    </w:p>
    <w:tbl>
      <w:tblPr>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44"/>
        <w:gridCol w:w="1403"/>
        <w:gridCol w:w="882"/>
        <w:gridCol w:w="992"/>
        <w:gridCol w:w="564"/>
        <w:gridCol w:w="821"/>
        <w:gridCol w:w="704"/>
        <w:gridCol w:w="872"/>
        <w:gridCol w:w="527"/>
        <w:gridCol w:w="2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8"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bookmarkStart w:id="0" w:name="_GoBack"/>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序号</w:t>
            </w:r>
          </w:p>
        </w:tc>
        <w:tc>
          <w:tcPr>
            <w:tcW w:w="140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报考单位</w:t>
            </w:r>
          </w:p>
        </w:tc>
        <w:tc>
          <w:tcPr>
            <w:tcW w:w="8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报考岗位</w:t>
            </w:r>
          </w:p>
        </w:tc>
        <w:tc>
          <w:tcPr>
            <w:tcW w:w="99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姓名</w:t>
            </w:r>
          </w:p>
        </w:tc>
        <w:tc>
          <w:tcPr>
            <w:tcW w:w="56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招聘计划数</w:t>
            </w:r>
          </w:p>
        </w:tc>
        <w:tc>
          <w:tcPr>
            <w:tcW w:w="821"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筛选成绩</w:t>
            </w:r>
          </w:p>
        </w:tc>
        <w:tc>
          <w:tcPr>
            <w:tcW w:w="70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面试成绩</w:t>
            </w:r>
          </w:p>
        </w:tc>
        <w:tc>
          <w:tcPr>
            <w:tcW w:w="87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总成绩</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所在职位名次</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公布单位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2"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0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南浔区妇女儿童发展中心</w:t>
            </w:r>
          </w:p>
        </w:tc>
        <w:tc>
          <w:tcPr>
            <w:tcW w:w="8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综合管理</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  帆</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80.225</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87.2</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85.1075</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1"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2"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南浔区经济建设综合服务中心</w:t>
            </w:r>
          </w:p>
        </w:tc>
        <w:tc>
          <w:tcPr>
            <w:tcW w:w="8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综合管理A</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皇  华</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87.700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78.2</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81.0500</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南浔区发展改革和经济委员会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2"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综合管理B</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刘春燕</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79.700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78.7</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79.0000</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2"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0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南浔区国库集中支付中心</w:t>
            </w:r>
          </w:p>
        </w:tc>
        <w:tc>
          <w:tcPr>
            <w:tcW w:w="8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综合管理</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许高峰</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82.335</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82.3</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82.3105</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12"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南浔区房产交易管理中心</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工程管理</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张可赞</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63.600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68.0</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66.6800</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2"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0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南浔区投资项目服务中心</w:t>
            </w:r>
          </w:p>
        </w:tc>
        <w:tc>
          <w:tcPr>
            <w:tcW w:w="8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综合文字</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高晓岑</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69.013</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77.0</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74.6039</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南浔区政务服务管理办公室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1" w:hRule="atLeast"/>
        </w:trPr>
        <w:tc>
          <w:tcPr>
            <w:tcW w:w="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南浔区绿色金融服务中心</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金融管理</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  诚</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63.500</w:t>
            </w:r>
          </w:p>
        </w:tc>
        <w:tc>
          <w:tcPr>
            <w:tcW w:w="7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85.7</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79.0400</w:t>
            </w:r>
          </w:p>
        </w:tc>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南浔区金融工作办公室</w:t>
            </w:r>
          </w:p>
        </w:tc>
      </w:tr>
      <w:bookmarkEnd w:id="0"/>
    </w:tbl>
    <w:p>
      <w:pPr>
        <w:rPr>
          <w:rFonts w:hint="eastAsia" w:ascii="宋体" w:hAnsi="宋体" w:eastAsia="宋体" w:cs="宋体"/>
          <w:b/>
          <w:i w:val="0"/>
          <w:caps w:val="0"/>
          <w:color w:val="000000"/>
          <w:spacing w:val="0"/>
          <w:sz w:val="20"/>
          <w:szCs w:val="2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D2C32"/>
    <w:rsid w:val="4F9D2C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2018-03-17T08:59:00Z</dcterms:created>
  <dc:creator>ASUS</dc:creator>
  <cp:lastModifiedBy>ASUS</cp:lastModifiedBy>
  <dcterms:modified xsi:type="dcterms:W3CDTF">2018-03-17T08:59:43Z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