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8" w:beforeAutospacing="0" w:after="0" w:afterAutospacing="0"/>
        <w:ind w:left="0" w:right="0" w:firstLine="0"/>
        <w:rPr>
          <w:rFonts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bdr w:val="none" w:color="auto" w:sz="0" w:space="0"/>
        </w:rPr>
        <w:t>浙江省文化艺术研究院拟聘人员公示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lang w:val="en-US" w:eastAsia="zh-CN" w:bidi="ar"/>
        </w:rPr>
        <w:t> </w:t>
      </w:r>
    </w:p>
    <w:tbl>
      <w:tblPr>
        <w:tblW w:w="894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6"/>
        <w:gridCol w:w="987"/>
        <w:gridCol w:w="1253"/>
        <w:gridCol w:w="677"/>
        <w:gridCol w:w="1240"/>
        <w:gridCol w:w="2308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0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12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3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文化研究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韩真真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0230W165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1990.12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北京大学        文学专业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迟令刚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0297W209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1986.01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浙江大学        文学专业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戏剧艺术研究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陈慧君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0219X032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1992.06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北京师范大学    艺术学专业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研究生/硕士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卢翌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0162X020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1993.12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香港中文大学    管理学专业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研究生/硕士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15F70"/>
    <w:rsid w:val="03815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2017-09-25T09:41:00Z</dcterms:created>
  <dc:creator>ASUS</dc:creator>
  <cp:lastModifiedBy>ASUS</cp:lastModifiedBy>
  <dcterms:modified xsi:type="dcterms:W3CDTF">2017-09-25T09:41:17Z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