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pacing w:val="-8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杭州市育才外国语学校招聘优秀教师</w:t>
      </w:r>
      <w:r>
        <w:rPr>
          <w:rFonts w:hint="eastAsia" w:ascii="黑体" w:hAnsi="黑体" w:eastAsia="黑体" w:cs="黑体"/>
          <w:b/>
          <w:bCs/>
          <w:spacing w:val="-8"/>
          <w:sz w:val="30"/>
          <w:szCs w:val="30"/>
        </w:rPr>
        <w:t>报名所需材料清单</w:t>
      </w:r>
    </w:p>
    <w:tbl>
      <w:tblPr>
        <w:tblStyle w:val="3"/>
        <w:tblW w:w="8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户口本（首页及本人所在页照片）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学历学位证书（照片）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教师资格证书（照片）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专业技术职称证书（照片）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普通话证、计算机证（照片）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主要荣誉证书（照片）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教科研、教学展示获奖证书（照片）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35F48"/>
    <w:rsid w:val="58F35F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2018-07-12T07:19:00Z</dcterms:created>
  <dc:creator>ASUS</dc:creator>
  <cp:lastModifiedBy>ASUS</cp:lastModifiedBy>
  <dcterms:modified xsi:type="dcterms:W3CDTF">2018-07-12T07:19:12Z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