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1794"/>
        <w:gridCol w:w="1244"/>
        <w:gridCol w:w="4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794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244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4021" w:type="dxa"/>
            <w:tcBorders>
              <w:top w:val="single" w:color="DDDDDD" w:sz="6" w:space="0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沈浙女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管理辅助岗位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屠迪波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管理辅助岗位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翁腾磊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城管协管员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44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虞晓峰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40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交管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B2B2B"/>
                <w:sz w:val="28"/>
                <w:szCs w:val="28"/>
                <w:bdr w:val="none" w:color="auto" w:sz="0" w:space="0"/>
              </w:rPr>
              <w:t>协管员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80" w:lineRule="auto"/>
        <w:ind w:left="0" w:firstLine="555"/>
      </w:pPr>
      <w:r>
        <w:rPr>
          <w:rFonts w:hint="eastAsia" w:ascii="宋体" w:hAnsi="宋体" w:eastAsia="宋体" w:cs="宋体"/>
          <w:color w:val="2B2B2B"/>
          <w:sz w:val="28"/>
          <w:szCs w:val="28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60A72"/>
    <w:rsid w:val="3EE3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4D4D4D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4D4D4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2017-10-19T05:49:41Z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