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80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0FCEE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5"/>
        <w:gridCol w:w="855"/>
        <w:gridCol w:w="580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C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b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岗位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C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职数</w:t>
            </w:r>
          </w:p>
        </w:tc>
        <w:tc>
          <w:tcPr>
            <w:tcW w:w="5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C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应聘条件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C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药学部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83838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药剂师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C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5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C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要求全日制本科及以上学历，药学、临床药学专业。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C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静脉药物配置中心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83838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药剂人员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C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5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0FC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83838"/>
                <w:spacing w:val="0"/>
                <w:sz w:val="20"/>
                <w:szCs w:val="20"/>
                <w:bdr w:val="none" w:color="auto" w:sz="0" w:space="0"/>
              </w:rPr>
              <w:t>人员归属药学部管理，全日制大专及以上学历，药学专业。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B1356"/>
    <w:rsid w:val="10BB13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2017-09-05T02:17:00Z</dcterms:created>
  <dc:creator>ASUS</dc:creator>
  <cp:lastModifiedBy>ASUS</cp:lastModifiedBy>
  <dcterms:modified xsi:type="dcterms:W3CDTF">2017-09-05T02:17:15Z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