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wordWrap w:val="0"/>
        <w:spacing w:before="0" w:beforeAutospacing="1" w:after="0" w:afterAutospacing="1" w:line="320" w:lineRule="atLeast"/>
        <w:ind w:left="0" w:right="0" w:firstLine="360"/>
        <w:jc w:val="left"/>
      </w:pPr>
      <w:bookmarkStart w:id="0" w:name="_GoBack"/>
      <w:r>
        <w:rPr>
          <w:rStyle w:val="3"/>
          <w:rFonts w:hint="eastAsia" w:ascii="宋体" w:hAnsi="宋体" w:eastAsia="宋体" w:cs="宋体"/>
          <w:color w:val="333333"/>
          <w:kern w:val="0"/>
          <w:sz w:val="24"/>
          <w:szCs w:val="24"/>
          <w:shd w:val="clear" w:fill="FFFFFF"/>
          <w:lang w:val="en-US" w:eastAsia="zh-CN" w:bidi="ar"/>
        </w:rPr>
        <w:t>招聘岗位、人数、专业、学历和范围及资格条件</w:t>
      </w:r>
    </w:p>
    <w:bookmarkEnd w:id="0"/>
    <w:tbl>
      <w:tblPr>
        <w:tblW w:w="8303" w:type="dxa"/>
        <w:jc w:val="center"/>
        <w:tblInd w:w="2" w:type="dxa"/>
        <w:shd w:val="clear"/>
        <w:tblLayout w:type="fixed"/>
        <w:tblCellMar>
          <w:top w:w="0" w:type="dxa"/>
          <w:left w:w="0" w:type="dxa"/>
          <w:bottom w:w="0" w:type="dxa"/>
          <w:right w:w="0" w:type="dxa"/>
        </w:tblCellMar>
      </w:tblPr>
      <w:tblGrid>
        <w:gridCol w:w="967"/>
        <w:gridCol w:w="1152"/>
        <w:gridCol w:w="485"/>
        <w:gridCol w:w="1836"/>
        <w:gridCol w:w="2270"/>
        <w:gridCol w:w="1593"/>
      </w:tblGrid>
      <w:tr>
        <w:tblPrEx>
          <w:tblLayout w:type="fixed"/>
          <w:tblCellMar>
            <w:top w:w="0" w:type="dxa"/>
            <w:left w:w="0" w:type="dxa"/>
            <w:bottom w:w="0" w:type="dxa"/>
            <w:right w:w="0" w:type="dxa"/>
          </w:tblCellMar>
        </w:tblPrEx>
        <w:trPr>
          <w:trHeight w:val="763" w:hRule="atLeast"/>
          <w:jc w:val="center"/>
        </w:trPr>
        <w:tc>
          <w:tcPr>
            <w:tcW w:w="967" w:type="dxa"/>
            <w:tcBorders>
              <w:top w:val="single" w:color="auto" w:sz="8" w:space="0"/>
              <w:left w:val="single" w:color="000000" w:sz="8" w:space="0"/>
              <w:bottom w:val="single" w:color="auto" w:sz="8" w:space="0"/>
              <w:right w:val="single" w:color="000000"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招聘单位</w:t>
            </w:r>
          </w:p>
        </w:tc>
        <w:tc>
          <w:tcPr>
            <w:tcW w:w="1152"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招聘岗位</w:t>
            </w:r>
          </w:p>
        </w:tc>
        <w:tc>
          <w:tcPr>
            <w:tcW w:w="485"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人数</w:t>
            </w:r>
          </w:p>
        </w:tc>
        <w:tc>
          <w:tcPr>
            <w:tcW w:w="1836"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岗位职责</w:t>
            </w:r>
          </w:p>
        </w:tc>
        <w:tc>
          <w:tcPr>
            <w:tcW w:w="2270"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招聘专业及</w:t>
            </w:r>
          </w:p>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学历（学位）要求</w:t>
            </w:r>
          </w:p>
        </w:tc>
        <w:tc>
          <w:tcPr>
            <w:tcW w:w="1593"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其他资格、条件</w:t>
            </w:r>
          </w:p>
        </w:tc>
      </w:tr>
      <w:tr>
        <w:tblPrEx>
          <w:shd w:val="clear"/>
          <w:tblLayout w:type="fixed"/>
          <w:tblCellMar>
            <w:top w:w="0" w:type="dxa"/>
            <w:left w:w="0" w:type="dxa"/>
            <w:bottom w:w="0" w:type="dxa"/>
            <w:right w:w="0" w:type="dxa"/>
          </w:tblCellMar>
        </w:tblPrEx>
        <w:trPr>
          <w:trHeight w:val="1122" w:hRule="atLeast"/>
          <w:jc w:val="center"/>
        </w:trPr>
        <w:tc>
          <w:tcPr>
            <w:tcW w:w="967" w:type="dxa"/>
            <w:vMerge w:val="restart"/>
            <w:tcBorders>
              <w:top w:val="nil"/>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镇海区人民医院</w:t>
            </w:r>
          </w:p>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（12人）</w:t>
            </w:r>
          </w:p>
        </w:tc>
        <w:tc>
          <w:tcPr>
            <w:tcW w:w="1152"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临床</w:t>
            </w:r>
          </w:p>
        </w:tc>
        <w:tc>
          <w:tcPr>
            <w:tcW w:w="48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8</w:t>
            </w:r>
          </w:p>
        </w:tc>
        <w:tc>
          <w:tcPr>
            <w:tcW w:w="183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333333"/>
                <w:kern w:val="0"/>
                <w:sz w:val="24"/>
                <w:szCs w:val="24"/>
                <w:lang w:val="en-US" w:eastAsia="zh-CN" w:bidi="ar"/>
              </w:rPr>
              <w:t>各科日常诊断、治疗、科研等工作</w:t>
            </w:r>
          </w:p>
        </w:tc>
        <w:tc>
          <w:tcPr>
            <w:tcW w:w="227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333333"/>
                <w:kern w:val="0"/>
                <w:sz w:val="24"/>
                <w:szCs w:val="24"/>
                <w:lang w:val="en-US" w:eastAsia="zh-CN" w:bidi="ar"/>
              </w:rPr>
              <w:t>内科学、外科学、妇产科学、神经病学、儿科学、急诊医学二级学科；全日制硕士研究生及以上学历学位</w:t>
            </w:r>
          </w:p>
        </w:tc>
        <w:tc>
          <w:tcPr>
            <w:tcW w:w="1593" w:type="dxa"/>
            <w:vMerge w:val="restart"/>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20" w:lineRule="atLeast"/>
              <w:ind w:left="0" w:right="0" w:firstLine="480"/>
              <w:jc w:val="left"/>
            </w:pPr>
            <w:r>
              <w:rPr>
                <w:rFonts w:hint="eastAsia" w:ascii="宋体" w:hAnsi="宋体" w:eastAsia="宋体" w:cs="宋体"/>
                <w:color w:val="333333"/>
                <w:kern w:val="0"/>
                <w:sz w:val="24"/>
                <w:szCs w:val="24"/>
                <w:lang w:val="en-US" w:eastAsia="zh-CN" w:bidi="ar"/>
              </w:rPr>
              <w:t>符合下列条件之一：2018年普通高校应届毕业生；2016、2017年普通高校毕业生；其他历届毕业生要求已取得相应执业医师资格。</w:t>
            </w:r>
          </w:p>
          <w:p>
            <w:pPr>
              <w:keepNext w:val="0"/>
              <w:keepLines w:val="0"/>
              <w:widowControl/>
              <w:suppressLineNumbers w:val="0"/>
              <w:spacing w:before="0" w:beforeAutospacing="1" w:after="0" w:afterAutospacing="1" w:line="320" w:lineRule="atLeast"/>
              <w:ind w:left="0" w:right="0" w:firstLine="480"/>
              <w:jc w:val="left"/>
            </w:pPr>
            <w:r>
              <w:rPr>
                <w:rFonts w:hint="eastAsia" w:ascii="宋体" w:hAnsi="宋体" w:eastAsia="宋体" w:cs="宋体"/>
                <w:color w:val="333333"/>
                <w:kern w:val="0"/>
                <w:sz w:val="24"/>
                <w:szCs w:val="24"/>
                <w:lang w:val="en-US" w:eastAsia="zh-CN" w:bidi="ar"/>
              </w:rPr>
              <w:t>有工作经历且已取得执业医师资格的2016、2017、2018年普通高校毕业生注册范围需符合岗位要求。</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FF0000"/>
                <w:kern w:val="0"/>
                <w:sz w:val="24"/>
                <w:szCs w:val="24"/>
                <w:lang w:val="en-US" w:eastAsia="zh-CN" w:bidi="ar"/>
              </w:rPr>
              <w:t> </w:t>
            </w:r>
          </w:p>
        </w:tc>
      </w:tr>
      <w:tr>
        <w:tblPrEx>
          <w:shd w:val="clear"/>
          <w:tblLayout w:type="fixed"/>
          <w:tblCellMar>
            <w:top w:w="0" w:type="dxa"/>
            <w:left w:w="0" w:type="dxa"/>
            <w:bottom w:w="0" w:type="dxa"/>
            <w:right w:w="0" w:type="dxa"/>
          </w:tblCellMar>
        </w:tblPrEx>
        <w:trPr>
          <w:trHeight w:val="924" w:hRule="atLeast"/>
          <w:jc w:val="center"/>
        </w:trPr>
        <w:tc>
          <w:tcPr>
            <w:tcW w:w="967" w:type="dxa"/>
            <w:vMerge w:val="continue"/>
            <w:tcBorders>
              <w:top w:val="nil"/>
              <w:left w:val="single" w:color="auto" w:sz="8" w:space="0"/>
              <w:bottom w:val="single" w:color="auto" w:sz="8" w:space="0"/>
              <w:right w:val="single" w:color="auto" w:sz="8" w:space="0"/>
            </w:tcBorders>
            <w:shd w:val="clear" w:color="auto" w:fill="FFFFFF"/>
            <w:vAlign w:val="center"/>
          </w:tcPr>
          <w:p>
            <w:pPr>
              <w:rPr>
                <w:rFonts w:hint="eastAsia" w:ascii="宋体" w:hAnsi="宋体" w:eastAsia="宋体" w:cs="宋体"/>
                <w:color w:val="333333"/>
                <w:sz w:val="15"/>
                <w:szCs w:val="15"/>
              </w:rPr>
            </w:pPr>
          </w:p>
        </w:tc>
        <w:tc>
          <w:tcPr>
            <w:tcW w:w="1152"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麻醉科</w:t>
            </w:r>
          </w:p>
        </w:tc>
        <w:tc>
          <w:tcPr>
            <w:tcW w:w="48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1</w:t>
            </w:r>
          </w:p>
        </w:tc>
        <w:tc>
          <w:tcPr>
            <w:tcW w:w="183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333333"/>
                <w:kern w:val="0"/>
                <w:sz w:val="24"/>
                <w:szCs w:val="24"/>
                <w:lang w:val="en-US" w:eastAsia="zh-CN" w:bidi="ar"/>
              </w:rPr>
              <w:t>麻醉科日常诊断、治疗、科研等工作</w:t>
            </w:r>
          </w:p>
        </w:tc>
        <w:tc>
          <w:tcPr>
            <w:tcW w:w="227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333333"/>
                <w:kern w:val="0"/>
                <w:sz w:val="24"/>
                <w:szCs w:val="24"/>
                <w:lang w:val="en-US" w:eastAsia="zh-CN" w:bidi="ar"/>
              </w:rPr>
              <w:t>麻醉学、外科学二级学科；全日制硕士研究生及以上学历学位</w:t>
            </w:r>
          </w:p>
        </w:tc>
        <w:tc>
          <w:tcPr>
            <w:tcW w:w="1593" w:type="dxa"/>
            <w:vMerge w:val="continue"/>
            <w:tcBorders>
              <w:top w:val="nil"/>
              <w:left w:val="nil"/>
              <w:bottom w:val="single" w:color="auto" w:sz="8" w:space="0"/>
              <w:right w:val="single" w:color="auto" w:sz="8" w:space="0"/>
            </w:tcBorders>
            <w:shd w:val="clear" w:color="auto" w:fill="FFFFFF"/>
            <w:vAlign w:val="center"/>
          </w:tcPr>
          <w:p>
            <w:pPr>
              <w:rPr>
                <w:rFonts w:hint="eastAsia" w:ascii="宋体" w:hAnsi="宋体" w:eastAsia="宋体" w:cs="宋体"/>
                <w:color w:val="333333"/>
                <w:sz w:val="15"/>
                <w:szCs w:val="15"/>
              </w:rPr>
            </w:pPr>
          </w:p>
        </w:tc>
      </w:tr>
      <w:tr>
        <w:tblPrEx>
          <w:shd w:val="clear"/>
          <w:tblLayout w:type="fixed"/>
          <w:tblCellMar>
            <w:top w:w="0" w:type="dxa"/>
            <w:left w:w="0" w:type="dxa"/>
            <w:bottom w:w="0" w:type="dxa"/>
            <w:right w:w="0" w:type="dxa"/>
          </w:tblCellMar>
        </w:tblPrEx>
        <w:trPr>
          <w:trHeight w:val="923" w:hRule="atLeast"/>
          <w:jc w:val="center"/>
        </w:trPr>
        <w:tc>
          <w:tcPr>
            <w:tcW w:w="967" w:type="dxa"/>
            <w:vMerge w:val="continue"/>
            <w:tcBorders>
              <w:top w:val="nil"/>
              <w:left w:val="single" w:color="auto" w:sz="8" w:space="0"/>
              <w:bottom w:val="single" w:color="auto" w:sz="8" w:space="0"/>
              <w:right w:val="single" w:color="auto" w:sz="8" w:space="0"/>
            </w:tcBorders>
            <w:shd w:val="clear" w:color="auto" w:fill="FFFFFF"/>
            <w:vAlign w:val="center"/>
          </w:tcPr>
          <w:p>
            <w:pPr>
              <w:rPr>
                <w:rFonts w:hint="eastAsia" w:ascii="宋体" w:hAnsi="宋体" w:eastAsia="宋体" w:cs="宋体"/>
                <w:color w:val="333333"/>
                <w:sz w:val="15"/>
                <w:szCs w:val="15"/>
              </w:rPr>
            </w:pPr>
          </w:p>
        </w:tc>
        <w:tc>
          <w:tcPr>
            <w:tcW w:w="1152"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耳鼻咽喉科</w:t>
            </w:r>
          </w:p>
        </w:tc>
        <w:tc>
          <w:tcPr>
            <w:tcW w:w="48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1</w:t>
            </w:r>
          </w:p>
        </w:tc>
        <w:tc>
          <w:tcPr>
            <w:tcW w:w="183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333333"/>
                <w:kern w:val="0"/>
                <w:sz w:val="24"/>
                <w:szCs w:val="24"/>
                <w:lang w:val="en-US" w:eastAsia="zh-CN" w:bidi="ar"/>
              </w:rPr>
              <w:t>耳鼻咽喉科日常诊断、治疗、科研等工作</w:t>
            </w:r>
          </w:p>
        </w:tc>
        <w:tc>
          <w:tcPr>
            <w:tcW w:w="227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333333"/>
                <w:kern w:val="0"/>
                <w:sz w:val="24"/>
                <w:szCs w:val="24"/>
                <w:lang w:val="en-US" w:eastAsia="zh-CN" w:bidi="ar"/>
              </w:rPr>
              <w:t>耳鼻咽喉科学二级学科；全日制硕士研究生及以上学历学位</w:t>
            </w:r>
          </w:p>
        </w:tc>
        <w:tc>
          <w:tcPr>
            <w:tcW w:w="1593" w:type="dxa"/>
            <w:vMerge w:val="continue"/>
            <w:tcBorders>
              <w:top w:val="nil"/>
              <w:left w:val="nil"/>
              <w:bottom w:val="single" w:color="auto" w:sz="8" w:space="0"/>
              <w:right w:val="single" w:color="auto" w:sz="8" w:space="0"/>
            </w:tcBorders>
            <w:shd w:val="clear" w:color="auto" w:fill="FFFFFF"/>
            <w:vAlign w:val="center"/>
          </w:tcPr>
          <w:p>
            <w:pPr>
              <w:rPr>
                <w:rFonts w:hint="eastAsia" w:ascii="宋体" w:hAnsi="宋体" w:eastAsia="宋体" w:cs="宋体"/>
                <w:color w:val="333333"/>
                <w:sz w:val="15"/>
                <w:szCs w:val="15"/>
              </w:rPr>
            </w:pPr>
          </w:p>
        </w:tc>
      </w:tr>
      <w:tr>
        <w:tblPrEx>
          <w:tblLayout w:type="fixed"/>
          <w:tblCellMar>
            <w:top w:w="0" w:type="dxa"/>
            <w:left w:w="0" w:type="dxa"/>
            <w:bottom w:w="0" w:type="dxa"/>
            <w:right w:w="0" w:type="dxa"/>
          </w:tblCellMar>
        </w:tblPrEx>
        <w:trPr>
          <w:trHeight w:val="775" w:hRule="atLeast"/>
          <w:jc w:val="center"/>
        </w:trPr>
        <w:tc>
          <w:tcPr>
            <w:tcW w:w="967" w:type="dxa"/>
            <w:vMerge w:val="continue"/>
            <w:tcBorders>
              <w:top w:val="nil"/>
              <w:left w:val="single" w:color="auto" w:sz="8" w:space="0"/>
              <w:bottom w:val="single" w:color="auto" w:sz="8" w:space="0"/>
              <w:right w:val="single" w:color="auto" w:sz="8" w:space="0"/>
            </w:tcBorders>
            <w:shd w:val="clear" w:color="auto" w:fill="FFFFFF"/>
            <w:vAlign w:val="center"/>
          </w:tcPr>
          <w:p>
            <w:pPr>
              <w:rPr>
                <w:rFonts w:hint="eastAsia" w:ascii="宋体" w:hAnsi="宋体" w:eastAsia="宋体" w:cs="宋体"/>
                <w:color w:val="333333"/>
                <w:sz w:val="15"/>
                <w:szCs w:val="15"/>
              </w:rPr>
            </w:pPr>
          </w:p>
        </w:tc>
        <w:tc>
          <w:tcPr>
            <w:tcW w:w="1152"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超声科</w:t>
            </w:r>
          </w:p>
        </w:tc>
        <w:tc>
          <w:tcPr>
            <w:tcW w:w="48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1</w:t>
            </w:r>
          </w:p>
        </w:tc>
        <w:tc>
          <w:tcPr>
            <w:tcW w:w="183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333333"/>
                <w:kern w:val="0"/>
                <w:sz w:val="24"/>
                <w:szCs w:val="24"/>
                <w:lang w:val="en-US" w:eastAsia="zh-CN" w:bidi="ar"/>
              </w:rPr>
              <w:t>超声科日常诊断、治疗、科研等工作</w:t>
            </w:r>
          </w:p>
        </w:tc>
        <w:tc>
          <w:tcPr>
            <w:tcW w:w="2270" w:type="dxa"/>
            <w:vMerge w:val="restart"/>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333333"/>
                <w:kern w:val="0"/>
                <w:sz w:val="24"/>
                <w:szCs w:val="24"/>
                <w:lang w:val="en-US" w:eastAsia="zh-CN" w:bidi="ar"/>
              </w:rPr>
              <w:t>临床类专业；全日制硕士研究生及以上学历学位</w:t>
            </w:r>
          </w:p>
        </w:tc>
        <w:tc>
          <w:tcPr>
            <w:tcW w:w="1593" w:type="dxa"/>
            <w:vMerge w:val="continue"/>
            <w:tcBorders>
              <w:top w:val="nil"/>
              <w:left w:val="nil"/>
              <w:bottom w:val="single" w:color="auto" w:sz="8" w:space="0"/>
              <w:right w:val="single" w:color="auto" w:sz="8" w:space="0"/>
            </w:tcBorders>
            <w:shd w:val="clear" w:color="auto" w:fill="FFFFFF"/>
            <w:vAlign w:val="center"/>
          </w:tcPr>
          <w:p>
            <w:pPr>
              <w:rPr>
                <w:rFonts w:hint="eastAsia" w:ascii="宋体" w:hAnsi="宋体" w:eastAsia="宋体" w:cs="宋体"/>
                <w:color w:val="333333"/>
                <w:sz w:val="15"/>
                <w:szCs w:val="15"/>
              </w:rPr>
            </w:pPr>
          </w:p>
        </w:tc>
      </w:tr>
      <w:tr>
        <w:tblPrEx>
          <w:shd w:val="clear"/>
          <w:tblLayout w:type="fixed"/>
          <w:tblCellMar>
            <w:top w:w="0" w:type="dxa"/>
            <w:left w:w="0" w:type="dxa"/>
            <w:bottom w:w="0" w:type="dxa"/>
            <w:right w:w="0" w:type="dxa"/>
          </w:tblCellMar>
        </w:tblPrEx>
        <w:trPr>
          <w:trHeight w:val="770" w:hRule="atLeast"/>
          <w:jc w:val="center"/>
        </w:trPr>
        <w:tc>
          <w:tcPr>
            <w:tcW w:w="967" w:type="dxa"/>
            <w:vMerge w:val="continue"/>
            <w:tcBorders>
              <w:top w:val="nil"/>
              <w:left w:val="single" w:color="auto" w:sz="8" w:space="0"/>
              <w:bottom w:val="single" w:color="auto" w:sz="8" w:space="0"/>
              <w:right w:val="single" w:color="auto" w:sz="8" w:space="0"/>
            </w:tcBorders>
            <w:shd w:val="clear" w:color="auto" w:fill="FFFFFF"/>
            <w:vAlign w:val="center"/>
          </w:tcPr>
          <w:p>
            <w:pPr>
              <w:rPr>
                <w:rFonts w:hint="eastAsia" w:ascii="宋体" w:hAnsi="宋体" w:eastAsia="宋体" w:cs="宋体"/>
                <w:color w:val="333333"/>
                <w:sz w:val="15"/>
                <w:szCs w:val="15"/>
              </w:rPr>
            </w:pPr>
          </w:p>
        </w:tc>
        <w:tc>
          <w:tcPr>
            <w:tcW w:w="1152"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放射科</w:t>
            </w:r>
          </w:p>
        </w:tc>
        <w:tc>
          <w:tcPr>
            <w:tcW w:w="48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1</w:t>
            </w:r>
          </w:p>
        </w:tc>
        <w:tc>
          <w:tcPr>
            <w:tcW w:w="183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333333"/>
                <w:kern w:val="0"/>
                <w:sz w:val="24"/>
                <w:szCs w:val="24"/>
                <w:lang w:val="en-US" w:eastAsia="zh-CN" w:bidi="ar"/>
              </w:rPr>
              <w:t>放射科日常诊断、治疗、科研等工作</w:t>
            </w:r>
          </w:p>
        </w:tc>
        <w:tc>
          <w:tcPr>
            <w:tcW w:w="2270" w:type="dxa"/>
            <w:vMerge w:val="continue"/>
            <w:tcBorders>
              <w:top w:val="nil"/>
              <w:left w:val="nil"/>
              <w:bottom w:val="single" w:color="auto" w:sz="8" w:space="0"/>
              <w:right w:val="single" w:color="auto" w:sz="8" w:space="0"/>
            </w:tcBorders>
            <w:shd w:val="clear" w:color="auto" w:fill="FFFFFF"/>
            <w:vAlign w:val="center"/>
          </w:tcPr>
          <w:p>
            <w:pPr>
              <w:rPr>
                <w:rFonts w:hint="eastAsia" w:ascii="宋体" w:hAnsi="宋体" w:eastAsia="宋体" w:cs="宋体"/>
                <w:color w:val="333333"/>
                <w:sz w:val="15"/>
                <w:szCs w:val="15"/>
              </w:rPr>
            </w:pPr>
          </w:p>
        </w:tc>
        <w:tc>
          <w:tcPr>
            <w:tcW w:w="1593" w:type="dxa"/>
            <w:vMerge w:val="continue"/>
            <w:tcBorders>
              <w:top w:val="nil"/>
              <w:left w:val="nil"/>
              <w:bottom w:val="single" w:color="auto" w:sz="8" w:space="0"/>
              <w:right w:val="single" w:color="auto" w:sz="8" w:space="0"/>
            </w:tcBorders>
            <w:shd w:val="clear" w:color="auto" w:fill="FFFFFF"/>
            <w:vAlign w:val="center"/>
          </w:tcPr>
          <w:p>
            <w:pPr>
              <w:rPr>
                <w:rFonts w:hint="eastAsia" w:ascii="宋体" w:hAnsi="宋体" w:eastAsia="宋体" w:cs="宋体"/>
                <w:color w:val="333333"/>
                <w:sz w:val="15"/>
                <w:szCs w:val="15"/>
              </w:rPr>
            </w:pPr>
          </w:p>
        </w:tc>
      </w:tr>
      <w:tr>
        <w:tblPrEx>
          <w:shd w:val="clear"/>
          <w:tblLayout w:type="fixed"/>
          <w:tblCellMar>
            <w:top w:w="0" w:type="dxa"/>
            <w:left w:w="0" w:type="dxa"/>
            <w:bottom w:w="0" w:type="dxa"/>
            <w:right w:w="0" w:type="dxa"/>
          </w:tblCellMar>
        </w:tblPrEx>
        <w:trPr>
          <w:trHeight w:val="887" w:hRule="atLeast"/>
          <w:jc w:val="center"/>
        </w:trPr>
        <w:tc>
          <w:tcPr>
            <w:tcW w:w="967" w:type="dxa"/>
            <w:vMerge w:val="restart"/>
            <w:tcBorders>
              <w:top w:val="nil"/>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镇海龙赛医院</w:t>
            </w:r>
          </w:p>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（4人）</w:t>
            </w:r>
          </w:p>
        </w:tc>
        <w:tc>
          <w:tcPr>
            <w:tcW w:w="1152"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临床</w:t>
            </w:r>
          </w:p>
        </w:tc>
        <w:tc>
          <w:tcPr>
            <w:tcW w:w="48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2</w:t>
            </w:r>
          </w:p>
        </w:tc>
        <w:tc>
          <w:tcPr>
            <w:tcW w:w="183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333333"/>
                <w:kern w:val="0"/>
                <w:sz w:val="24"/>
                <w:szCs w:val="24"/>
                <w:lang w:val="en-US" w:eastAsia="zh-CN" w:bidi="ar"/>
              </w:rPr>
              <w:t>各科日常诊断、治疗、科研等工作</w:t>
            </w:r>
          </w:p>
        </w:tc>
        <w:tc>
          <w:tcPr>
            <w:tcW w:w="227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333333"/>
                <w:kern w:val="0"/>
                <w:sz w:val="24"/>
                <w:szCs w:val="24"/>
                <w:lang w:val="en-US" w:eastAsia="zh-CN" w:bidi="ar"/>
              </w:rPr>
              <w:t>内科学、老年医学、神经病学二级学科，全日制硕士研究生及以上学历学位</w:t>
            </w:r>
          </w:p>
        </w:tc>
        <w:tc>
          <w:tcPr>
            <w:tcW w:w="1593" w:type="dxa"/>
            <w:vMerge w:val="continue"/>
            <w:tcBorders>
              <w:top w:val="nil"/>
              <w:left w:val="nil"/>
              <w:bottom w:val="single" w:color="auto" w:sz="8" w:space="0"/>
              <w:right w:val="single" w:color="auto" w:sz="8" w:space="0"/>
            </w:tcBorders>
            <w:shd w:val="clear" w:color="auto" w:fill="FFFFFF"/>
            <w:vAlign w:val="center"/>
          </w:tcPr>
          <w:p>
            <w:pPr>
              <w:rPr>
                <w:rFonts w:hint="eastAsia" w:ascii="宋体" w:hAnsi="宋体" w:eastAsia="宋体" w:cs="宋体"/>
                <w:color w:val="333333"/>
                <w:sz w:val="15"/>
                <w:szCs w:val="15"/>
              </w:rPr>
            </w:pPr>
          </w:p>
        </w:tc>
      </w:tr>
      <w:tr>
        <w:tblPrEx>
          <w:shd w:val="clear"/>
          <w:tblLayout w:type="fixed"/>
          <w:tblCellMar>
            <w:top w:w="0" w:type="dxa"/>
            <w:left w:w="0" w:type="dxa"/>
            <w:bottom w:w="0" w:type="dxa"/>
            <w:right w:w="0" w:type="dxa"/>
          </w:tblCellMar>
        </w:tblPrEx>
        <w:trPr>
          <w:trHeight w:val="962" w:hRule="atLeast"/>
          <w:jc w:val="center"/>
        </w:trPr>
        <w:tc>
          <w:tcPr>
            <w:tcW w:w="967" w:type="dxa"/>
            <w:vMerge w:val="continue"/>
            <w:tcBorders>
              <w:top w:val="nil"/>
              <w:left w:val="single" w:color="auto" w:sz="8" w:space="0"/>
              <w:bottom w:val="single" w:color="auto" w:sz="8" w:space="0"/>
              <w:right w:val="single" w:color="auto" w:sz="8" w:space="0"/>
            </w:tcBorders>
            <w:shd w:val="clear" w:color="auto" w:fill="FFFFFF"/>
            <w:vAlign w:val="center"/>
          </w:tcPr>
          <w:p>
            <w:pPr>
              <w:rPr>
                <w:rFonts w:hint="eastAsia" w:ascii="宋体" w:hAnsi="宋体" w:eastAsia="宋体" w:cs="宋体"/>
                <w:color w:val="333333"/>
                <w:sz w:val="15"/>
                <w:szCs w:val="15"/>
              </w:rPr>
            </w:pPr>
          </w:p>
        </w:tc>
        <w:tc>
          <w:tcPr>
            <w:tcW w:w="1152"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针灸科</w:t>
            </w:r>
          </w:p>
        </w:tc>
        <w:tc>
          <w:tcPr>
            <w:tcW w:w="48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1</w:t>
            </w:r>
          </w:p>
        </w:tc>
        <w:tc>
          <w:tcPr>
            <w:tcW w:w="183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333333"/>
                <w:kern w:val="0"/>
                <w:sz w:val="24"/>
                <w:szCs w:val="24"/>
                <w:lang w:val="en-US" w:eastAsia="zh-CN" w:bidi="ar"/>
              </w:rPr>
              <w:t>针灸科日常诊断、治疗、科研等工作</w:t>
            </w:r>
          </w:p>
        </w:tc>
        <w:tc>
          <w:tcPr>
            <w:tcW w:w="227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333333"/>
                <w:kern w:val="0"/>
                <w:sz w:val="24"/>
                <w:szCs w:val="24"/>
                <w:lang w:val="en-US" w:eastAsia="zh-CN" w:bidi="ar"/>
              </w:rPr>
              <w:t>针灸推拿学二级学科；全日制硕士研究生及以上学历学位</w:t>
            </w:r>
          </w:p>
        </w:tc>
        <w:tc>
          <w:tcPr>
            <w:tcW w:w="1593" w:type="dxa"/>
            <w:vMerge w:val="continue"/>
            <w:tcBorders>
              <w:top w:val="nil"/>
              <w:left w:val="nil"/>
              <w:bottom w:val="single" w:color="auto" w:sz="8" w:space="0"/>
              <w:right w:val="single" w:color="auto" w:sz="8" w:space="0"/>
            </w:tcBorders>
            <w:shd w:val="clear" w:color="auto" w:fill="FFFFFF"/>
            <w:vAlign w:val="center"/>
          </w:tcPr>
          <w:p>
            <w:pPr>
              <w:rPr>
                <w:rFonts w:hint="eastAsia" w:ascii="宋体" w:hAnsi="宋体" w:eastAsia="宋体" w:cs="宋体"/>
                <w:color w:val="333333"/>
                <w:sz w:val="15"/>
                <w:szCs w:val="15"/>
              </w:rPr>
            </w:pPr>
          </w:p>
        </w:tc>
      </w:tr>
      <w:tr>
        <w:tblPrEx>
          <w:shd w:val="clear"/>
          <w:tblLayout w:type="fixed"/>
          <w:tblCellMar>
            <w:top w:w="0" w:type="dxa"/>
            <w:left w:w="0" w:type="dxa"/>
            <w:bottom w:w="0" w:type="dxa"/>
            <w:right w:w="0" w:type="dxa"/>
          </w:tblCellMar>
        </w:tblPrEx>
        <w:trPr>
          <w:trHeight w:val="918" w:hRule="atLeast"/>
          <w:jc w:val="center"/>
        </w:trPr>
        <w:tc>
          <w:tcPr>
            <w:tcW w:w="967" w:type="dxa"/>
            <w:vMerge w:val="continue"/>
            <w:tcBorders>
              <w:top w:val="nil"/>
              <w:left w:val="single" w:color="auto" w:sz="8" w:space="0"/>
              <w:bottom w:val="single" w:color="auto" w:sz="8" w:space="0"/>
              <w:right w:val="single" w:color="auto" w:sz="8" w:space="0"/>
            </w:tcBorders>
            <w:shd w:val="clear" w:color="auto" w:fill="FFFFFF"/>
            <w:vAlign w:val="center"/>
          </w:tcPr>
          <w:p>
            <w:pPr>
              <w:rPr>
                <w:rFonts w:hint="eastAsia" w:ascii="宋体" w:hAnsi="宋体" w:eastAsia="宋体" w:cs="宋体"/>
                <w:color w:val="333333"/>
                <w:sz w:val="15"/>
                <w:szCs w:val="15"/>
              </w:rPr>
            </w:pPr>
          </w:p>
        </w:tc>
        <w:tc>
          <w:tcPr>
            <w:tcW w:w="1152"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康复科</w:t>
            </w:r>
          </w:p>
        </w:tc>
        <w:tc>
          <w:tcPr>
            <w:tcW w:w="48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1</w:t>
            </w:r>
          </w:p>
        </w:tc>
        <w:tc>
          <w:tcPr>
            <w:tcW w:w="183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333333"/>
                <w:kern w:val="0"/>
                <w:sz w:val="24"/>
                <w:szCs w:val="24"/>
                <w:lang w:val="en-US" w:eastAsia="zh-CN" w:bidi="ar"/>
              </w:rPr>
              <w:t>康复科日常诊断、治疗、科研等工作</w:t>
            </w:r>
          </w:p>
        </w:tc>
        <w:tc>
          <w:tcPr>
            <w:tcW w:w="227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333333"/>
                <w:kern w:val="0"/>
                <w:sz w:val="24"/>
                <w:szCs w:val="24"/>
                <w:lang w:val="en-US" w:eastAsia="zh-CN" w:bidi="ar"/>
              </w:rPr>
              <w:t>康复医学与理疗学二级学科；全日制硕士研究生、硕士及以上学历学位</w:t>
            </w:r>
          </w:p>
        </w:tc>
        <w:tc>
          <w:tcPr>
            <w:tcW w:w="1593" w:type="dxa"/>
            <w:vMerge w:val="continue"/>
            <w:tcBorders>
              <w:top w:val="nil"/>
              <w:left w:val="nil"/>
              <w:bottom w:val="single" w:color="auto" w:sz="8" w:space="0"/>
              <w:right w:val="single" w:color="auto" w:sz="8" w:space="0"/>
            </w:tcBorders>
            <w:shd w:val="clear" w:color="auto" w:fill="FFFFFF"/>
            <w:vAlign w:val="center"/>
          </w:tcPr>
          <w:p>
            <w:pPr>
              <w:rPr>
                <w:rFonts w:hint="eastAsia" w:ascii="宋体" w:hAnsi="宋体" w:eastAsia="宋体" w:cs="宋体"/>
                <w:color w:val="333333"/>
                <w:sz w:val="15"/>
                <w:szCs w:val="15"/>
              </w:rPr>
            </w:pPr>
          </w:p>
        </w:tc>
      </w:tr>
      <w:tr>
        <w:tblPrEx>
          <w:tblLayout w:type="fixed"/>
          <w:tblCellMar>
            <w:top w:w="0" w:type="dxa"/>
            <w:left w:w="0" w:type="dxa"/>
            <w:bottom w:w="0" w:type="dxa"/>
            <w:right w:w="0" w:type="dxa"/>
          </w:tblCellMar>
        </w:tblPrEx>
        <w:trPr>
          <w:trHeight w:val="763" w:hRule="atLeast"/>
          <w:jc w:val="center"/>
        </w:trPr>
        <w:tc>
          <w:tcPr>
            <w:tcW w:w="967" w:type="dxa"/>
            <w:tcBorders>
              <w:top w:val="nil"/>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招聘单位</w:t>
            </w:r>
          </w:p>
        </w:tc>
        <w:tc>
          <w:tcPr>
            <w:tcW w:w="1152"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招聘岗位</w:t>
            </w:r>
          </w:p>
        </w:tc>
        <w:tc>
          <w:tcPr>
            <w:tcW w:w="48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人数</w:t>
            </w:r>
          </w:p>
        </w:tc>
        <w:tc>
          <w:tcPr>
            <w:tcW w:w="183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岗位职责</w:t>
            </w:r>
          </w:p>
        </w:tc>
        <w:tc>
          <w:tcPr>
            <w:tcW w:w="227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招聘专业及</w:t>
            </w:r>
          </w:p>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学历（学位）要求</w:t>
            </w:r>
          </w:p>
        </w:tc>
        <w:tc>
          <w:tcPr>
            <w:tcW w:w="1593"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其他资格、条件</w:t>
            </w:r>
          </w:p>
        </w:tc>
      </w:tr>
      <w:tr>
        <w:tblPrEx>
          <w:shd w:val="clear"/>
          <w:tblLayout w:type="fixed"/>
          <w:tblCellMar>
            <w:top w:w="0" w:type="dxa"/>
            <w:left w:w="0" w:type="dxa"/>
            <w:bottom w:w="0" w:type="dxa"/>
            <w:right w:w="0" w:type="dxa"/>
          </w:tblCellMar>
        </w:tblPrEx>
        <w:trPr>
          <w:trHeight w:val="934" w:hRule="atLeast"/>
          <w:jc w:val="center"/>
        </w:trPr>
        <w:tc>
          <w:tcPr>
            <w:tcW w:w="967" w:type="dxa"/>
            <w:vMerge w:val="restart"/>
            <w:tcBorders>
              <w:top w:val="nil"/>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镇海区中医医院</w:t>
            </w:r>
          </w:p>
        </w:tc>
        <w:tc>
          <w:tcPr>
            <w:tcW w:w="1152"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推拿科</w:t>
            </w:r>
          </w:p>
        </w:tc>
        <w:tc>
          <w:tcPr>
            <w:tcW w:w="48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1</w:t>
            </w:r>
          </w:p>
        </w:tc>
        <w:tc>
          <w:tcPr>
            <w:tcW w:w="183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333333"/>
                <w:kern w:val="0"/>
                <w:sz w:val="24"/>
                <w:szCs w:val="24"/>
                <w:lang w:val="en-US" w:eastAsia="zh-CN" w:bidi="ar"/>
              </w:rPr>
              <w:t>推拿科日常诊断、治疗、科研等工作</w:t>
            </w:r>
          </w:p>
        </w:tc>
        <w:tc>
          <w:tcPr>
            <w:tcW w:w="227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333333"/>
                <w:kern w:val="0"/>
                <w:sz w:val="24"/>
                <w:szCs w:val="24"/>
                <w:lang w:val="en-US" w:eastAsia="zh-CN" w:bidi="ar"/>
              </w:rPr>
              <w:t>针灸推拿学二级学科；全日制硕士研究生及以上学历学位</w:t>
            </w:r>
          </w:p>
        </w:tc>
        <w:tc>
          <w:tcPr>
            <w:tcW w:w="1593" w:type="dxa"/>
            <w:vMerge w:val="restart"/>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20" w:lineRule="atLeast"/>
              <w:ind w:left="0" w:right="0" w:firstLine="480"/>
              <w:jc w:val="left"/>
            </w:pPr>
            <w:r>
              <w:rPr>
                <w:rFonts w:hint="eastAsia" w:ascii="宋体" w:hAnsi="宋体" w:eastAsia="宋体" w:cs="宋体"/>
                <w:color w:val="333333"/>
                <w:kern w:val="0"/>
                <w:sz w:val="24"/>
                <w:szCs w:val="24"/>
                <w:lang w:val="en-US" w:eastAsia="zh-CN" w:bidi="ar"/>
              </w:rPr>
              <w:t>符合下列条件之一：2016、2017年普通高校毕业生；其他历届毕业生要求已取得相应执业医师资格。</w:t>
            </w:r>
          </w:p>
          <w:p>
            <w:pPr>
              <w:keepNext w:val="0"/>
              <w:keepLines w:val="0"/>
              <w:widowControl/>
              <w:suppressLineNumbers w:val="0"/>
              <w:shd w:val="clear" w:fill="FFFFFF"/>
              <w:spacing w:before="0" w:beforeAutospacing="1" w:after="0" w:afterAutospacing="1" w:line="320" w:lineRule="atLeast"/>
              <w:ind w:left="0" w:right="0" w:firstLine="480"/>
              <w:jc w:val="left"/>
            </w:pPr>
            <w:r>
              <w:rPr>
                <w:rFonts w:hint="eastAsia" w:ascii="宋体" w:hAnsi="宋体" w:eastAsia="宋体" w:cs="宋体"/>
                <w:color w:val="333333"/>
                <w:kern w:val="0"/>
                <w:sz w:val="24"/>
                <w:szCs w:val="24"/>
                <w:shd w:val="clear" w:fill="FFFFFF"/>
                <w:lang w:val="en-US" w:eastAsia="zh-CN" w:bidi="ar"/>
              </w:rPr>
              <w:t>有工作经历且已取得执业医师资格的2016、2017年普通高校毕业生注册范围需符合岗位要求。</w:t>
            </w:r>
          </w:p>
          <w:p>
            <w:pPr>
              <w:keepNext w:val="0"/>
              <w:keepLines w:val="0"/>
              <w:widowControl/>
              <w:suppressLineNumbers w:val="0"/>
              <w:shd w:val="clear" w:fill="FFFFFF"/>
              <w:spacing w:before="0" w:beforeAutospacing="1" w:after="0" w:afterAutospacing="1" w:line="240" w:lineRule="atLeast"/>
              <w:ind w:left="0" w:right="0"/>
              <w:jc w:val="left"/>
            </w:pPr>
            <w:r>
              <w:rPr>
                <w:rFonts w:hint="eastAsia" w:ascii="宋体" w:hAnsi="宋体" w:eastAsia="宋体" w:cs="宋体"/>
                <w:color w:val="333333"/>
                <w:kern w:val="0"/>
                <w:sz w:val="24"/>
                <w:szCs w:val="24"/>
                <w:shd w:val="clear" w:fill="FFFFFF"/>
                <w:lang w:val="en-US" w:eastAsia="zh-CN" w:bidi="ar"/>
              </w:rPr>
              <w:t> </w:t>
            </w:r>
          </w:p>
        </w:tc>
      </w:tr>
      <w:tr>
        <w:tblPrEx>
          <w:shd w:val="clear"/>
          <w:tblLayout w:type="fixed"/>
          <w:tblCellMar>
            <w:top w:w="0" w:type="dxa"/>
            <w:left w:w="0" w:type="dxa"/>
            <w:bottom w:w="0" w:type="dxa"/>
            <w:right w:w="0" w:type="dxa"/>
          </w:tblCellMar>
        </w:tblPrEx>
        <w:trPr>
          <w:trHeight w:val="917" w:hRule="atLeast"/>
          <w:jc w:val="center"/>
        </w:trPr>
        <w:tc>
          <w:tcPr>
            <w:tcW w:w="967" w:type="dxa"/>
            <w:vMerge w:val="continue"/>
            <w:tcBorders>
              <w:top w:val="nil"/>
              <w:left w:val="single" w:color="auto" w:sz="8" w:space="0"/>
              <w:bottom w:val="single" w:color="auto" w:sz="8" w:space="0"/>
              <w:right w:val="single" w:color="auto" w:sz="8" w:space="0"/>
            </w:tcBorders>
            <w:shd w:val="clear" w:color="auto" w:fill="FFFFFF"/>
            <w:vAlign w:val="center"/>
          </w:tcPr>
          <w:p>
            <w:pPr>
              <w:rPr>
                <w:rFonts w:hint="eastAsia" w:ascii="宋体" w:hAnsi="宋体" w:eastAsia="宋体" w:cs="宋体"/>
                <w:color w:val="333333"/>
                <w:sz w:val="15"/>
                <w:szCs w:val="15"/>
              </w:rPr>
            </w:pPr>
          </w:p>
        </w:tc>
        <w:tc>
          <w:tcPr>
            <w:tcW w:w="1152"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超声科</w:t>
            </w:r>
          </w:p>
        </w:tc>
        <w:tc>
          <w:tcPr>
            <w:tcW w:w="48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2</w:t>
            </w:r>
          </w:p>
        </w:tc>
        <w:tc>
          <w:tcPr>
            <w:tcW w:w="183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333333"/>
                <w:kern w:val="0"/>
                <w:sz w:val="24"/>
                <w:szCs w:val="24"/>
                <w:lang w:val="en-US" w:eastAsia="zh-CN" w:bidi="ar"/>
              </w:rPr>
              <w:t>超声科日常诊断、治疗、科研等工作</w:t>
            </w:r>
          </w:p>
        </w:tc>
        <w:tc>
          <w:tcPr>
            <w:tcW w:w="2270" w:type="dxa"/>
            <w:vMerge w:val="restart"/>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333333"/>
                <w:kern w:val="0"/>
                <w:sz w:val="24"/>
                <w:szCs w:val="24"/>
                <w:lang w:val="en-US" w:eastAsia="zh-CN" w:bidi="ar"/>
              </w:rPr>
              <w:t>临床类专业；全日制硕士研究生及以上学历学位</w:t>
            </w:r>
          </w:p>
        </w:tc>
        <w:tc>
          <w:tcPr>
            <w:tcW w:w="1593" w:type="dxa"/>
            <w:vMerge w:val="continue"/>
            <w:tcBorders>
              <w:top w:val="nil"/>
              <w:left w:val="nil"/>
              <w:bottom w:val="single" w:color="auto" w:sz="8" w:space="0"/>
              <w:right w:val="single" w:color="auto" w:sz="8" w:space="0"/>
            </w:tcBorders>
            <w:shd w:val="clear" w:color="auto" w:fill="FFFFFF"/>
            <w:vAlign w:val="center"/>
          </w:tcPr>
          <w:p>
            <w:pPr>
              <w:rPr>
                <w:rFonts w:hint="eastAsia" w:ascii="宋体" w:hAnsi="宋体" w:eastAsia="宋体" w:cs="宋体"/>
                <w:color w:val="333333"/>
                <w:sz w:val="15"/>
                <w:szCs w:val="15"/>
              </w:rPr>
            </w:pPr>
          </w:p>
        </w:tc>
      </w:tr>
      <w:tr>
        <w:tblPrEx>
          <w:tblLayout w:type="fixed"/>
          <w:tblCellMar>
            <w:top w:w="0" w:type="dxa"/>
            <w:left w:w="0" w:type="dxa"/>
            <w:bottom w:w="0" w:type="dxa"/>
            <w:right w:w="0" w:type="dxa"/>
          </w:tblCellMar>
        </w:tblPrEx>
        <w:trPr>
          <w:trHeight w:val="1084" w:hRule="atLeast"/>
          <w:jc w:val="center"/>
        </w:trPr>
        <w:tc>
          <w:tcPr>
            <w:tcW w:w="967" w:type="dxa"/>
            <w:vMerge w:val="continue"/>
            <w:tcBorders>
              <w:top w:val="nil"/>
              <w:left w:val="single" w:color="auto" w:sz="8" w:space="0"/>
              <w:bottom w:val="single" w:color="auto" w:sz="8" w:space="0"/>
              <w:right w:val="single" w:color="auto" w:sz="8" w:space="0"/>
            </w:tcBorders>
            <w:shd w:val="clear" w:color="auto" w:fill="FFFFFF"/>
            <w:vAlign w:val="center"/>
          </w:tcPr>
          <w:p>
            <w:pPr>
              <w:rPr>
                <w:rFonts w:hint="eastAsia" w:ascii="宋体" w:hAnsi="宋体" w:eastAsia="宋体" w:cs="宋体"/>
                <w:color w:val="333333"/>
                <w:sz w:val="15"/>
                <w:szCs w:val="15"/>
              </w:rPr>
            </w:pPr>
          </w:p>
        </w:tc>
        <w:tc>
          <w:tcPr>
            <w:tcW w:w="1152"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心电科</w:t>
            </w:r>
          </w:p>
        </w:tc>
        <w:tc>
          <w:tcPr>
            <w:tcW w:w="48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4"/>
                <w:szCs w:val="24"/>
                <w:lang w:val="en-US" w:eastAsia="zh-CN" w:bidi="ar"/>
              </w:rPr>
              <w:t>1</w:t>
            </w:r>
          </w:p>
        </w:tc>
        <w:tc>
          <w:tcPr>
            <w:tcW w:w="183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333333"/>
                <w:kern w:val="0"/>
                <w:sz w:val="24"/>
                <w:szCs w:val="24"/>
                <w:lang w:val="en-US" w:eastAsia="zh-CN" w:bidi="ar"/>
              </w:rPr>
              <w:t>特检科日常诊断、治疗、科研等工作</w:t>
            </w:r>
          </w:p>
        </w:tc>
        <w:tc>
          <w:tcPr>
            <w:tcW w:w="2270" w:type="dxa"/>
            <w:vMerge w:val="continue"/>
            <w:tcBorders>
              <w:top w:val="nil"/>
              <w:left w:val="nil"/>
              <w:bottom w:val="single" w:color="auto" w:sz="8" w:space="0"/>
              <w:right w:val="single" w:color="auto" w:sz="8" w:space="0"/>
            </w:tcBorders>
            <w:shd w:val="clear" w:color="auto" w:fill="FFFFFF"/>
            <w:vAlign w:val="center"/>
          </w:tcPr>
          <w:p>
            <w:pPr>
              <w:rPr>
                <w:rFonts w:hint="eastAsia" w:ascii="宋体" w:hAnsi="宋体" w:eastAsia="宋体" w:cs="宋体"/>
                <w:color w:val="333333"/>
                <w:sz w:val="15"/>
                <w:szCs w:val="15"/>
              </w:rPr>
            </w:pPr>
          </w:p>
        </w:tc>
        <w:tc>
          <w:tcPr>
            <w:tcW w:w="1593" w:type="dxa"/>
            <w:vMerge w:val="continue"/>
            <w:tcBorders>
              <w:top w:val="nil"/>
              <w:left w:val="nil"/>
              <w:bottom w:val="single" w:color="auto" w:sz="8" w:space="0"/>
              <w:right w:val="single" w:color="auto" w:sz="8" w:space="0"/>
            </w:tcBorders>
            <w:shd w:val="clear" w:color="auto" w:fill="FFFFFF"/>
            <w:vAlign w:val="center"/>
          </w:tcPr>
          <w:p>
            <w:pPr>
              <w:rPr>
                <w:rFonts w:hint="eastAsia" w:ascii="宋体" w:hAnsi="宋体" w:eastAsia="宋体" w:cs="宋体"/>
                <w:color w:val="333333"/>
                <w:sz w:val="15"/>
                <w:szCs w:val="15"/>
              </w:rPr>
            </w:pPr>
          </w:p>
        </w:tc>
      </w:tr>
      <w:tr>
        <w:tblPrEx>
          <w:shd w:val="clear"/>
          <w:tblLayout w:type="fixed"/>
          <w:tblCellMar>
            <w:top w:w="0" w:type="dxa"/>
            <w:left w:w="0" w:type="dxa"/>
            <w:bottom w:w="0" w:type="dxa"/>
            <w:right w:w="0" w:type="dxa"/>
          </w:tblCellMar>
        </w:tblPrEx>
        <w:trPr>
          <w:trHeight w:val="1033" w:hRule="atLeast"/>
          <w:jc w:val="center"/>
        </w:trPr>
        <w:tc>
          <w:tcPr>
            <w:tcW w:w="967" w:type="dxa"/>
            <w:vMerge w:val="restart"/>
            <w:tcBorders>
              <w:top w:val="nil"/>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hd w:val="clear" w:fill="FFFFFF"/>
              <w:spacing w:before="0" w:beforeAutospacing="1" w:after="0" w:afterAutospacing="1" w:line="240" w:lineRule="atLeast"/>
              <w:ind w:left="0" w:right="0"/>
              <w:jc w:val="center"/>
            </w:pPr>
            <w:r>
              <w:rPr>
                <w:rFonts w:hint="eastAsia" w:ascii="宋体" w:hAnsi="宋体" w:eastAsia="宋体" w:cs="宋体"/>
                <w:color w:val="333333"/>
                <w:kern w:val="0"/>
                <w:sz w:val="24"/>
                <w:szCs w:val="24"/>
                <w:shd w:val="clear" w:fill="FFFFFF"/>
                <w:lang w:val="en-US" w:eastAsia="zh-CN" w:bidi="ar"/>
              </w:rPr>
              <w:t>镇海区炼化医院</w:t>
            </w:r>
          </w:p>
        </w:tc>
        <w:tc>
          <w:tcPr>
            <w:tcW w:w="1152"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hd w:val="clear" w:fill="FFFFFF"/>
              <w:spacing w:before="0" w:beforeAutospacing="1" w:after="0" w:afterAutospacing="1" w:line="240" w:lineRule="atLeast"/>
              <w:ind w:left="0" w:right="0"/>
              <w:jc w:val="center"/>
            </w:pPr>
            <w:r>
              <w:rPr>
                <w:rFonts w:hint="eastAsia" w:ascii="宋体" w:hAnsi="宋体" w:eastAsia="宋体" w:cs="宋体"/>
                <w:color w:val="333333"/>
                <w:kern w:val="0"/>
                <w:sz w:val="24"/>
                <w:szCs w:val="24"/>
                <w:shd w:val="clear" w:fill="FFFFFF"/>
                <w:lang w:val="en-US" w:eastAsia="zh-CN" w:bidi="ar"/>
              </w:rPr>
              <w:t>耳鼻咽喉科</w:t>
            </w:r>
          </w:p>
        </w:tc>
        <w:tc>
          <w:tcPr>
            <w:tcW w:w="48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hd w:val="clear" w:fill="FFFFFF"/>
              <w:spacing w:before="0" w:beforeAutospacing="1" w:after="0" w:afterAutospacing="1" w:line="240" w:lineRule="atLeast"/>
              <w:ind w:left="0" w:right="0"/>
              <w:jc w:val="center"/>
            </w:pPr>
            <w:r>
              <w:rPr>
                <w:rFonts w:hint="eastAsia" w:ascii="宋体" w:hAnsi="宋体" w:eastAsia="宋体" w:cs="宋体"/>
                <w:color w:val="333333"/>
                <w:kern w:val="0"/>
                <w:sz w:val="24"/>
                <w:szCs w:val="24"/>
                <w:shd w:val="clear" w:fill="FFFFFF"/>
                <w:lang w:val="en-US" w:eastAsia="zh-CN" w:bidi="ar"/>
              </w:rPr>
              <w:t>1</w:t>
            </w:r>
          </w:p>
        </w:tc>
        <w:tc>
          <w:tcPr>
            <w:tcW w:w="183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hd w:val="clear" w:fill="FFFFFF"/>
              <w:spacing w:before="0" w:beforeAutospacing="1" w:after="0" w:afterAutospacing="1" w:line="240" w:lineRule="atLeast"/>
              <w:ind w:left="0" w:right="0"/>
              <w:jc w:val="left"/>
            </w:pPr>
            <w:r>
              <w:rPr>
                <w:rFonts w:hint="eastAsia" w:ascii="宋体" w:hAnsi="宋体" w:eastAsia="宋体" w:cs="宋体"/>
                <w:color w:val="333333"/>
                <w:kern w:val="0"/>
                <w:sz w:val="24"/>
                <w:szCs w:val="24"/>
                <w:shd w:val="clear" w:fill="FFFFFF"/>
                <w:lang w:val="en-US" w:eastAsia="zh-CN" w:bidi="ar"/>
              </w:rPr>
              <w:t>耳鼻咽喉科日常诊断、治疗、科研等工作</w:t>
            </w:r>
          </w:p>
        </w:tc>
        <w:tc>
          <w:tcPr>
            <w:tcW w:w="227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hd w:val="clear" w:fill="FFFFFF"/>
              <w:spacing w:before="0" w:beforeAutospacing="1" w:after="0" w:afterAutospacing="1" w:line="240" w:lineRule="atLeast"/>
              <w:ind w:left="0" w:right="0"/>
              <w:jc w:val="left"/>
            </w:pPr>
            <w:r>
              <w:rPr>
                <w:rFonts w:hint="eastAsia" w:ascii="宋体" w:hAnsi="宋体" w:eastAsia="宋体" w:cs="宋体"/>
                <w:color w:val="333333"/>
                <w:kern w:val="0"/>
                <w:sz w:val="24"/>
                <w:szCs w:val="24"/>
                <w:shd w:val="clear" w:fill="FFFFFF"/>
                <w:lang w:val="en-US" w:eastAsia="zh-CN" w:bidi="ar"/>
              </w:rPr>
              <w:t>耳鼻咽喉科学二级学科；全日制硕士研究生及以上学历学位</w:t>
            </w:r>
          </w:p>
        </w:tc>
        <w:tc>
          <w:tcPr>
            <w:tcW w:w="1593" w:type="dxa"/>
            <w:vMerge w:val="continue"/>
            <w:tcBorders>
              <w:top w:val="nil"/>
              <w:left w:val="nil"/>
              <w:bottom w:val="single" w:color="auto" w:sz="8" w:space="0"/>
              <w:right w:val="single" w:color="auto" w:sz="8" w:space="0"/>
            </w:tcBorders>
            <w:shd w:val="clear" w:color="auto" w:fill="FFFFFF"/>
            <w:vAlign w:val="center"/>
          </w:tcPr>
          <w:p>
            <w:pPr>
              <w:rPr>
                <w:rFonts w:hint="eastAsia" w:ascii="宋体" w:hAnsi="宋体" w:eastAsia="宋体" w:cs="宋体"/>
                <w:color w:val="333333"/>
                <w:sz w:val="15"/>
                <w:szCs w:val="15"/>
              </w:rPr>
            </w:pPr>
          </w:p>
        </w:tc>
      </w:tr>
      <w:tr>
        <w:tblPrEx>
          <w:tblLayout w:type="fixed"/>
          <w:tblCellMar>
            <w:top w:w="0" w:type="dxa"/>
            <w:left w:w="0" w:type="dxa"/>
            <w:bottom w:w="0" w:type="dxa"/>
            <w:right w:w="0" w:type="dxa"/>
          </w:tblCellMar>
        </w:tblPrEx>
        <w:trPr>
          <w:trHeight w:val="970" w:hRule="atLeast"/>
          <w:jc w:val="center"/>
        </w:trPr>
        <w:tc>
          <w:tcPr>
            <w:tcW w:w="967" w:type="dxa"/>
            <w:vMerge w:val="continue"/>
            <w:tcBorders>
              <w:top w:val="nil"/>
              <w:left w:val="single" w:color="auto" w:sz="8" w:space="0"/>
              <w:bottom w:val="single" w:color="auto" w:sz="8" w:space="0"/>
              <w:right w:val="single" w:color="auto" w:sz="8" w:space="0"/>
            </w:tcBorders>
            <w:shd w:val="clear" w:color="auto" w:fill="FFFFFF"/>
            <w:vAlign w:val="center"/>
          </w:tcPr>
          <w:p>
            <w:pPr>
              <w:rPr>
                <w:rFonts w:hint="eastAsia" w:ascii="宋体" w:hAnsi="宋体" w:eastAsia="宋体" w:cs="宋体"/>
                <w:color w:val="333333"/>
                <w:sz w:val="15"/>
                <w:szCs w:val="15"/>
              </w:rPr>
            </w:pPr>
          </w:p>
        </w:tc>
        <w:tc>
          <w:tcPr>
            <w:tcW w:w="1152"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hd w:val="clear" w:fill="FFFFFF"/>
              <w:spacing w:before="0" w:beforeAutospacing="1" w:after="0" w:afterAutospacing="1" w:line="240" w:lineRule="atLeast"/>
              <w:ind w:left="0" w:right="0"/>
              <w:jc w:val="center"/>
            </w:pPr>
            <w:r>
              <w:rPr>
                <w:rFonts w:hint="eastAsia" w:ascii="宋体" w:hAnsi="宋体" w:eastAsia="宋体" w:cs="宋体"/>
                <w:color w:val="333333"/>
                <w:kern w:val="0"/>
                <w:sz w:val="24"/>
                <w:szCs w:val="24"/>
                <w:shd w:val="clear" w:fill="FFFFFF"/>
                <w:lang w:val="en-US" w:eastAsia="zh-CN" w:bidi="ar"/>
              </w:rPr>
              <w:t>中医科</w:t>
            </w:r>
          </w:p>
        </w:tc>
        <w:tc>
          <w:tcPr>
            <w:tcW w:w="48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hd w:val="clear" w:fill="FFFFFF"/>
              <w:spacing w:before="0" w:beforeAutospacing="1" w:after="0" w:afterAutospacing="1" w:line="240" w:lineRule="atLeast"/>
              <w:ind w:left="0" w:right="0"/>
              <w:jc w:val="center"/>
            </w:pPr>
            <w:r>
              <w:rPr>
                <w:rFonts w:hint="eastAsia" w:ascii="宋体" w:hAnsi="宋体" w:eastAsia="宋体" w:cs="宋体"/>
                <w:color w:val="333333"/>
                <w:kern w:val="0"/>
                <w:sz w:val="24"/>
                <w:szCs w:val="24"/>
                <w:shd w:val="clear" w:fill="FFFFFF"/>
                <w:lang w:val="en-US" w:eastAsia="zh-CN" w:bidi="ar"/>
              </w:rPr>
              <w:t>1</w:t>
            </w:r>
          </w:p>
        </w:tc>
        <w:tc>
          <w:tcPr>
            <w:tcW w:w="183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hd w:val="clear" w:fill="FFFFFF"/>
              <w:spacing w:before="0" w:beforeAutospacing="1" w:after="0" w:afterAutospacing="1" w:line="240" w:lineRule="atLeast"/>
              <w:ind w:left="0" w:right="0"/>
              <w:jc w:val="left"/>
            </w:pPr>
            <w:r>
              <w:rPr>
                <w:rFonts w:hint="eastAsia" w:ascii="宋体" w:hAnsi="宋体" w:eastAsia="宋体" w:cs="宋体"/>
                <w:color w:val="333333"/>
                <w:kern w:val="0"/>
                <w:sz w:val="24"/>
                <w:szCs w:val="24"/>
                <w:shd w:val="clear" w:fill="FFFFFF"/>
                <w:lang w:val="en-US" w:eastAsia="zh-CN" w:bidi="ar"/>
              </w:rPr>
              <w:t>中医科日常诊断、治疗、科研等工作</w:t>
            </w:r>
          </w:p>
        </w:tc>
        <w:tc>
          <w:tcPr>
            <w:tcW w:w="227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hd w:val="clear" w:fill="FFFFFF"/>
              <w:spacing w:before="0" w:beforeAutospacing="1" w:after="0" w:afterAutospacing="1" w:line="240" w:lineRule="atLeast"/>
              <w:ind w:left="0" w:right="0"/>
              <w:jc w:val="left"/>
            </w:pPr>
            <w:r>
              <w:rPr>
                <w:rFonts w:hint="eastAsia" w:ascii="宋体" w:hAnsi="宋体" w:eastAsia="宋体" w:cs="宋体"/>
                <w:color w:val="333333"/>
                <w:kern w:val="0"/>
                <w:sz w:val="24"/>
                <w:szCs w:val="24"/>
                <w:shd w:val="clear" w:fill="FFFFFF"/>
                <w:lang w:val="en-US" w:eastAsia="zh-CN" w:bidi="ar"/>
              </w:rPr>
              <w:t>中医内科学、中医妇科学二级学科；全日制硕士研究生及以上学历学位</w:t>
            </w:r>
          </w:p>
        </w:tc>
        <w:tc>
          <w:tcPr>
            <w:tcW w:w="1593" w:type="dxa"/>
            <w:vMerge w:val="continue"/>
            <w:tcBorders>
              <w:top w:val="nil"/>
              <w:left w:val="nil"/>
              <w:bottom w:val="single" w:color="auto" w:sz="8" w:space="0"/>
              <w:right w:val="single" w:color="auto" w:sz="8" w:space="0"/>
            </w:tcBorders>
            <w:shd w:val="clear" w:color="auto" w:fill="FFFFFF"/>
            <w:vAlign w:val="center"/>
          </w:tcPr>
          <w:p>
            <w:pPr>
              <w:rPr>
                <w:rFonts w:hint="eastAsia" w:ascii="宋体" w:hAnsi="宋体" w:eastAsia="宋体" w:cs="宋体"/>
                <w:color w:val="333333"/>
                <w:sz w:val="15"/>
                <w:szCs w:val="15"/>
              </w:rPr>
            </w:pPr>
          </w:p>
        </w:tc>
      </w:tr>
      <w:tr>
        <w:tblPrEx>
          <w:shd w:val="clear"/>
          <w:tblLayout w:type="fixed"/>
          <w:tblCellMar>
            <w:top w:w="0" w:type="dxa"/>
            <w:left w:w="0" w:type="dxa"/>
            <w:bottom w:w="0" w:type="dxa"/>
            <w:right w:w="0" w:type="dxa"/>
          </w:tblCellMar>
        </w:tblPrEx>
        <w:trPr>
          <w:trHeight w:val="1082" w:hRule="atLeast"/>
          <w:jc w:val="center"/>
        </w:trPr>
        <w:tc>
          <w:tcPr>
            <w:tcW w:w="967" w:type="dxa"/>
            <w:tcBorders>
              <w:top w:val="nil"/>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hd w:val="clear" w:fill="FFFFFF"/>
              <w:spacing w:before="0" w:beforeAutospacing="1" w:after="0" w:afterAutospacing="1" w:line="240" w:lineRule="atLeast"/>
              <w:ind w:left="0" w:right="0"/>
              <w:jc w:val="center"/>
            </w:pPr>
            <w:r>
              <w:rPr>
                <w:rFonts w:hint="eastAsia" w:ascii="宋体" w:hAnsi="宋体" w:eastAsia="宋体" w:cs="宋体"/>
                <w:color w:val="333333"/>
                <w:kern w:val="0"/>
                <w:sz w:val="24"/>
                <w:szCs w:val="24"/>
                <w:shd w:val="clear" w:fill="FFFFFF"/>
                <w:lang w:val="en-US" w:eastAsia="zh-CN" w:bidi="ar"/>
              </w:rPr>
              <w:t>镇海区社区卫生服务中心</w:t>
            </w:r>
          </w:p>
        </w:tc>
        <w:tc>
          <w:tcPr>
            <w:tcW w:w="1152"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hd w:val="clear" w:fill="FFFFFF"/>
              <w:spacing w:before="0" w:beforeAutospacing="1" w:after="0" w:afterAutospacing="1" w:line="240" w:lineRule="atLeast"/>
              <w:ind w:left="0" w:right="0"/>
              <w:jc w:val="center"/>
            </w:pPr>
            <w:r>
              <w:rPr>
                <w:rFonts w:hint="eastAsia" w:ascii="宋体" w:hAnsi="宋体" w:eastAsia="宋体" w:cs="宋体"/>
                <w:color w:val="333333"/>
                <w:kern w:val="0"/>
                <w:sz w:val="24"/>
                <w:szCs w:val="24"/>
                <w:shd w:val="clear" w:fill="FFFFFF"/>
                <w:lang w:val="en-US" w:eastAsia="zh-CN" w:bidi="ar"/>
              </w:rPr>
              <w:t>中医科</w:t>
            </w:r>
          </w:p>
        </w:tc>
        <w:tc>
          <w:tcPr>
            <w:tcW w:w="48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hd w:val="clear" w:fill="FFFFFF"/>
              <w:spacing w:before="0" w:beforeAutospacing="1" w:after="0" w:afterAutospacing="1" w:line="240" w:lineRule="atLeast"/>
              <w:ind w:left="0" w:right="0"/>
              <w:jc w:val="center"/>
            </w:pPr>
            <w:r>
              <w:rPr>
                <w:rFonts w:hint="eastAsia" w:ascii="宋体" w:hAnsi="宋体" w:eastAsia="宋体" w:cs="宋体"/>
                <w:color w:val="333333"/>
                <w:kern w:val="0"/>
                <w:sz w:val="24"/>
                <w:szCs w:val="24"/>
                <w:shd w:val="clear" w:fill="FFFFFF"/>
                <w:lang w:val="en-US" w:eastAsia="zh-CN" w:bidi="ar"/>
              </w:rPr>
              <w:t>1</w:t>
            </w:r>
          </w:p>
        </w:tc>
        <w:tc>
          <w:tcPr>
            <w:tcW w:w="183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hd w:val="clear" w:fill="FFFFFF"/>
              <w:spacing w:before="0" w:beforeAutospacing="1" w:after="0" w:afterAutospacing="1" w:line="240" w:lineRule="atLeast"/>
              <w:ind w:left="0" w:right="0"/>
              <w:jc w:val="left"/>
            </w:pPr>
            <w:r>
              <w:rPr>
                <w:rFonts w:hint="eastAsia" w:ascii="宋体" w:hAnsi="宋体" w:eastAsia="宋体" w:cs="宋体"/>
                <w:color w:val="333333"/>
                <w:kern w:val="0"/>
                <w:sz w:val="24"/>
                <w:szCs w:val="24"/>
                <w:shd w:val="clear" w:fill="FFFFFF"/>
                <w:lang w:val="en-US" w:eastAsia="zh-CN" w:bidi="ar"/>
              </w:rPr>
              <w:t>中医科日常诊断、治疗、科研等工作</w:t>
            </w:r>
          </w:p>
        </w:tc>
        <w:tc>
          <w:tcPr>
            <w:tcW w:w="227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hd w:val="clear" w:fill="FFFFFF"/>
              <w:spacing w:before="0" w:beforeAutospacing="1" w:after="0" w:afterAutospacing="1" w:line="240" w:lineRule="atLeast"/>
              <w:ind w:left="0" w:right="0"/>
              <w:jc w:val="left"/>
            </w:pPr>
            <w:r>
              <w:rPr>
                <w:rFonts w:hint="eastAsia" w:ascii="宋体" w:hAnsi="宋体" w:eastAsia="宋体" w:cs="宋体"/>
                <w:color w:val="333333"/>
                <w:kern w:val="0"/>
                <w:sz w:val="24"/>
                <w:szCs w:val="24"/>
                <w:shd w:val="clear" w:fill="FFFFFF"/>
                <w:lang w:val="en-US" w:eastAsia="zh-CN" w:bidi="ar"/>
              </w:rPr>
              <w:t>中医内科学、中医妇科学二级学科；全日制硕士研究生及以上学历学位</w:t>
            </w:r>
          </w:p>
        </w:tc>
        <w:tc>
          <w:tcPr>
            <w:tcW w:w="1593" w:type="dxa"/>
            <w:vMerge w:val="continue"/>
            <w:tcBorders>
              <w:top w:val="nil"/>
              <w:left w:val="nil"/>
              <w:bottom w:val="single" w:color="auto" w:sz="8" w:space="0"/>
              <w:right w:val="single" w:color="auto" w:sz="8" w:space="0"/>
            </w:tcBorders>
            <w:shd w:val="clear" w:color="auto" w:fill="FFFFFF"/>
            <w:vAlign w:val="center"/>
          </w:tcPr>
          <w:p>
            <w:pPr>
              <w:rPr>
                <w:rFonts w:hint="eastAsia" w:ascii="宋体" w:hAnsi="宋体" w:eastAsia="宋体" w:cs="宋体"/>
                <w:color w:val="333333"/>
                <w:sz w:val="15"/>
                <w:szCs w:val="15"/>
              </w:rPr>
            </w:pPr>
          </w:p>
        </w:tc>
      </w:tr>
      <w:tr>
        <w:tblPrEx>
          <w:shd w:val="clear"/>
          <w:tblLayout w:type="fixed"/>
          <w:tblCellMar>
            <w:top w:w="0" w:type="dxa"/>
            <w:left w:w="0" w:type="dxa"/>
            <w:bottom w:w="0" w:type="dxa"/>
            <w:right w:w="0" w:type="dxa"/>
          </w:tblCellMar>
        </w:tblPrEx>
        <w:trPr>
          <w:trHeight w:val="2173" w:hRule="atLeast"/>
          <w:jc w:val="center"/>
        </w:trPr>
        <w:tc>
          <w:tcPr>
            <w:tcW w:w="967" w:type="dxa"/>
            <w:tcBorders>
              <w:top w:val="nil"/>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hd w:val="clear" w:fill="FFFFFF"/>
              <w:spacing w:before="0" w:beforeAutospacing="1" w:after="0" w:afterAutospacing="1" w:line="240" w:lineRule="atLeast"/>
              <w:ind w:left="0" w:right="0"/>
              <w:jc w:val="center"/>
            </w:pPr>
            <w:r>
              <w:rPr>
                <w:rFonts w:hint="eastAsia" w:ascii="宋体" w:hAnsi="宋体" w:eastAsia="宋体" w:cs="宋体"/>
                <w:color w:val="333333"/>
                <w:kern w:val="0"/>
                <w:sz w:val="24"/>
                <w:szCs w:val="24"/>
                <w:shd w:val="clear" w:fill="FFFFFF"/>
                <w:lang w:val="en-US" w:eastAsia="zh-CN" w:bidi="ar"/>
              </w:rPr>
              <w:t>镇海区疾控中心</w:t>
            </w:r>
          </w:p>
        </w:tc>
        <w:tc>
          <w:tcPr>
            <w:tcW w:w="1152"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kern w:val="0"/>
                <w:sz w:val="24"/>
                <w:szCs w:val="24"/>
                <w:lang w:val="en-US" w:eastAsia="zh-CN" w:bidi="ar"/>
              </w:rPr>
              <w:t>实验室检验</w:t>
            </w:r>
          </w:p>
        </w:tc>
        <w:tc>
          <w:tcPr>
            <w:tcW w:w="48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hd w:val="clear" w:fill="FFFFFF"/>
              <w:spacing w:before="0" w:beforeAutospacing="1" w:after="0" w:afterAutospacing="1" w:line="240" w:lineRule="atLeast"/>
              <w:ind w:left="0" w:right="0"/>
              <w:jc w:val="center"/>
            </w:pPr>
            <w:r>
              <w:rPr>
                <w:rFonts w:hint="eastAsia" w:ascii="宋体" w:hAnsi="宋体" w:eastAsia="宋体" w:cs="宋体"/>
                <w:color w:val="333333"/>
                <w:kern w:val="0"/>
                <w:sz w:val="24"/>
                <w:szCs w:val="24"/>
                <w:shd w:val="clear" w:fill="FFFFFF"/>
                <w:lang w:val="en-US" w:eastAsia="zh-CN" w:bidi="ar"/>
              </w:rPr>
              <w:t>1</w:t>
            </w:r>
          </w:p>
        </w:tc>
        <w:tc>
          <w:tcPr>
            <w:tcW w:w="183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hd w:val="clear" w:fill="FFFFFF"/>
              <w:spacing w:before="0" w:beforeAutospacing="1" w:after="0" w:afterAutospacing="1" w:line="240" w:lineRule="atLeast"/>
              <w:ind w:left="0" w:right="0"/>
              <w:jc w:val="left"/>
            </w:pPr>
            <w:r>
              <w:rPr>
                <w:rFonts w:hint="eastAsia" w:ascii="宋体" w:hAnsi="宋体" w:eastAsia="宋体" w:cs="宋体"/>
                <w:color w:val="333333"/>
                <w:kern w:val="0"/>
                <w:sz w:val="24"/>
                <w:szCs w:val="24"/>
                <w:shd w:val="clear" w:fill="FFFFFF"/>
                <w:lang w:val="en-US" w:eastAsia="zh-CN" w:bidi="ar"/>
              </w:rPr>
              <w:t>食品检验、水质检验等工作</w:t>
            </w:r>
          </w:p>
        </w:tc>
        <w:tc>
          <w:tcPr>
            <w:tcW w:w="227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hd w:val="clear" w:fill="FFFFFF"/>
              <w:spacing w:before="0" w:beforeAutospacing="1" w:after="0" w:afterAutospacing="1" w:line="240" w:lineRule="atLeast"/>
              <w:ind w:left="0" w:right="0"/>
              <w:jc w:val="left"/>
            </w:pPr>
            <w:r>
              <w:rPr>
                <w:rFonts w:hint="eastAsia" w:ascii="宋体" w:hAnsi="宋体" w:eastAsia="宋体" w:cs="宋体"/>
                <w:color w:val="333333"/>
                <w:kern w:val="0"/>
                <w:sz w:val="24"/>
                <w:szCs w:val="24"/>
                <w:shd w:val="clear" w:fill="FFFFFF"/>
                <w:lang w:val="en-US" w:eastAsia="zh-CN" w:bidi="ar"/>
              </w:rPr>
              <w:t>卫生检验学、卫生检验与检疫、分析化学、应用化学；全日制硕士研究生及以上学历学位</w:t>
            </w:r>
          </w:p>
        </w:tc>
        <w:tc>
          <w:tcPr>
            <w:tcW w:w="1593"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shd w:val="clear" w:fill="FFFFFF"/>
              <w:spacing w:before="0" w:beforeAutospacing="1" w:after="0" w:afterAutospacing="1" w:line="240" w:lineRule="atLeast"/>
              <w:ind w:left="0" w:right="0"/>
              <w:jc w:val="left"/>
            </w:pPr>
            <w:r>
              <w:rPr>
                <w:rFonts w:hint="eastAsia" w:ascii="宋体" w:hAnsi="宋体" w:eastAsia="宋体" w:cs="宋体"/>
                <w:color w:val="333333"/>
                <w:kern w:val="0"/>
                <w:sz w:val="24"/>
                <w:szCs w:val="24"/>
                <w:shd w:val="clear" w:fill="FFFFFF"/>
                <w:lang w:val="en-US" w:eastAsia="zh-CN" w:bidi="ar"/>
              </w:rPr>
              <w:t>符合下列条件之一：2016、2017年普通高校毕业生；其他历届毕业生要求已取得相应执业医师资格或相应初级职称。</w:t>
            </w:r>
          </w:p>
          <w:p>
            <w:pPr>
              <w:keepNext w:val="0"/>
              <w:keepLines w:val="0"/>
              <w:widowControl/>
              <w:suppressLineNumbers w:val="0"/>
              <w:shd w:val="clear" w:fill="FFFFFF"/>
              <w:spacing w:before="0" w:beforeAutospacing="1" w:after="0" w:afterAutospacing="1" w:line="320" w:lineRule="atLeast"/>
              <w:ind w:left="0" w:right="0" w:firstLine="480"/>
              <w:jc w:val="left"/>
            </w:pPr>
            <w:r>
              <w:rPr>
                <w:rFonts w:hint="eastAsia" w:ascii="宋体" w:hAnsi="宋体" w:eastAsia="宋体" w:cs="宋体"/>
                <w:color w:val="333333"/>
                <w:kern w:val="0"/>
                <w:sz w:val="24"/>
                <w:szCs w:val="24"/>
                <w:shd w:val="clear" w:fill="FFFFFF"/>
                <w:lang w:val="en-US" w:eastAsia="zh-CN" w:bidi="ar"/>
              </w:rPr>
              <w:t>有工作经历且已取得执业医师资格的2016、2017年普通高校毕业生注册范围需符合岗位要求。</w:t>
            </w:r>
          </w:p>
          <w:p>
            <w:pPr>
              <w:keepNext w:val="0"/>
              <w:keepLines w:val="0"/>
              <w:widowControl/>
              <w:suppressLineNumbers w:val="0"/>
              <w:shd w:val="clear" w:fill="FFFFFF"/>
              <w:spacing w:before="0" w:beforeAutospacing="1" w:after="0" w:afterAutospacing="1" w:line="240" w:lineRule="atLeast"/>
              <w:ind w:left="0" w:right="0"/>
              <w:jc w:val="left"/>
            </w:pPr>
            <w:r>
              <w:rPr>
                <w:rFonts w:hint="eastAsia" w:ascii="宋体" w:hAnsi="宋体" w:eastAsia="宋体" w:cs="宋体"/>
                <w:color w:val="333333"/>
                <w:kern w:val="0"/>
                <w:sz w:val="24"/>
                <w:szCs w:val="24"/>
                <w:shd w:val="clear" w:fill="FFFFFF"/>
                <w:lang w:val="en-US" w:eastAsia="zh-CN" w:bidi="ar"/>
              </w:rPr>
              <w:t> </w:t>
            </w:r>
          </w:p>
        </w:tc>
      </w:tr>
    </w:tbl>
    <w:p>
      <w:pPr>
        <w:keepNext w:val="0"/>
        <w:keepLines w:val="0"/>
        <w:widowControl/>
        <w:suppressLineNumbers w:val="0"/>
        <w:shd w:val="clear" w:fill="FFFFFF"/>
        <w:wordWrap w:val="0"/>
        <w:spacing w:before="0" w:beforeAutospacing="1" w:after="0" w:afterAutospacing="1" w:line="320" w:lineRule="atLeast"/>
        <w:ind w:left="0" w:right="0" w:firstLine="360"/>
        <w:jc w:val="left"/>
      </w:pPr>
      <w:r>
        <w:rPr>
          <w:rFonts w:hint="eastAsia" w:ascii="宋体" w:hAnsi="宋体" w:eastAsia="宋体" w:cs="宋体"/>
          <w:color w:val="333333"/>
          <w:kern w:val="0"/>
          <w:sz w:val="24"/>
          <w:szCs w:val="24"/>
          <w:shd w:val="clear" w:fill="FFFFFF"/>
          <w:lang w:val="en-US" w:eastAsia="zh-CN" w:bidi="ar"/>
        </w:rPr>
        <w:t>   </w:t>
      </w:r>
    </w:p>
    <w:p>
      <w:pPr>
        <w:keepNext w:val="0"/>
        <w:keepLines w:val="0"/>
        <w:widowControl/>
        <w:suppressLineNumbers w:val="0"/>
        <w:shd w:val="clear" w:fill="FFFFFF"/>
        <w:wordWrap w:val="0"/>
        <w:spacing w:before="0" w:beforeAutospacing="1" w:after="0" w:afterAutospacing="1" w:line="380" w:lineRule="atLeast"/>
        <w:ind w:left="0" w:right="0"/>
        <w:jc w:val="left"/>
      </w:pPr>
      <w:r>
        <w:rPr>
          <w:rFonts w:hint="eastAsia" w:ascii="宋体" w:hAnsi="宋体" w:eastAsia="宋体" w:cs="宋体"/>
          <w:color w:val="000000"/>
          <w:kern w:val="0"/>
          <w:sz w:val="24"/>
          <w:szCs w:val="24"/>
          <w:shd w:val="clear" w:fill="FFFFFF"/>
          <w:lang w:val="en-US" w:eastAsia="zh-CN" w:bidi="ar"/>
        </w:rPr>
        <w:t>注：执业资格、职称的取得时间和年龄的计算截止时间均为公告发布之日。</w:t>
      </w:r>
      <w:r>
        <w:rPr>
          <w:rFonts w:hint="eastAsia" w:ascii="宋体" w:hAnsi="宋体" w:eastAsia="宋体" w:cs="宋体"/>
          <w:color w:val="333333"/>
          <w:kern w:val="0"/>
          <w:sz w:val="24"/>
          <w:szCs w:val="24"/>
          <w:shd w:val="clear" w:fill="FFFFFF"/>
          <w:lang w:val="en-US" w:eastAsia="zh-CN" w:bidi="ar"/>
        </w:rPr>
        <w:t>2018年应届毕业生凭学校普通高校毕业生就业协议书和推荐表（或学生证）报名，且须于2018年9月30日前取得相应的学历、学位；留学归国境人员应聘时须提供教育部中国留学人员服务中心出具的境外学历、学位认证书；本硕连读的人员可凭临床医学、中医学专业进行报名（其他资格条件不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95EF7"/>
    <w:rsid w:val="50F95E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FollowedHyperlink"/>
    <w:basedOn w:val="2"/>
    <w:uiPriority w:val="0"/>
    <w:rPr>
      <w:rFonts w:hint="eastAsia" w:ascii="宋体" w:hAnsi="宋体" w:eastAsia="宋体" w:cs="宋体"/>
      <w:color w:val="000000"/>
      <w:sz w:val="15"/>
      <w:szCs w:val="15"/>
      <w:u w:val="none"/>
    </w:rPr>
  </w:style>
  <w:style w:type="character" w:styleId="5">
    <w:name w:val="Hyperlink"/>
    <w:basedOn w:val="2"/>
    <w:uiPriority w:val="0"/>
    <w:rPr>
      <w:rFonts w:hint="eastAsia" w:ascii="宋体" w:hAnsi="宋体" w:eastAsia="宋体" w:cs="宋体"/>
      <w:color w:val="000000"/>
      <w:sz w:val="15"/>
      <w:szCs w:val="15"/>
      <w:u w:val="none"/>
    </w:rPr>
  </w:style>
  <w:style w:type="character" w:customStyle="1" w:styleId="7">
    <w:name w:val="current-btn"/>
    <w:basedOn w:val="2"/>
    <w:uiPriority w:val="0"/>
    <w:rPr>
      <w:b/>
      <w:color w:val="FFFFFF"/>
      <w:sz w:val="12"/>
      <w:szCs w:val="12"/>
      <w:bdr w:val="single" w:color="066AB1" w:sz="4" w:space="0"/>
      <w:shd w:val="clear" w:fill="0884DC"/>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2017-09-21T10:55:00Z</dcterms:created>
  <dc:creator>ASUS</dc:creator>
  <cp:lastModifiedBy>ASUS</cp:lastModifiedBy>
  <dcterms:modified xsi:type="dcterms:W3CDTF">2017-09-21T10:55:36Z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