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26" w:lineRule="atLeast"/>
        <w:jc w:val="left"/>
      </w:pPr>
      <w:bookmarkStart w:id="0" w:name="_GoBack"/>
      <w:r>
        <w:rPr>
          <w:rFonts w:ascii="微软雅黑" w:hAnsi="微软雅黑" w:eastAsia="微软雅黑" w:cs="微软雅黑"/>
          <w:color w:val="3D3D3D"/>
          <w:sz w:val="18"/>
          <w:szCs w:val="18"/>
          <w:u w:val="none"/>
          <w:bdr w:val="none" w:color="auto" w:sz="0" w:space="0"/>
        </w:rPr>
        <w:t>招聘单位、岗位、人数、专业、学历和范围及资格条件</w:t>
      </w:r>
    </w:p>
    <w:bookmarkEnd w:id="0"/>
    <w:tbl>
      <w:tblPr>
        <w:tblW w:w="6862" w:type="dxa"/>
        <w:jc w:val="center"/>
        <w:tblInd w:w="7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Layout w:type="fixed"/>
        <w:tblCellMar>
          <w:top w:w="0" w:type="dxa"/>
          <w:left w:w="0" w:type="dxa"/>
          <w:bottom w:w="0" w:type="dxa"/>
          <w:right w:w="0" w:type="dxa"/>
        </w:tblCellMar>
      </w:tblPr>
      <w:tblGrid>
        <w:gridCol w:w="1052"/>
        <w:gridCol w:w="526"/>
        <w:gridCol w:w="902"/>
        <w:gridCol w:w="1227"/>
        <w:gridCol w:w="1715"/>
        <w:gridCol w:w="626"/>
        <w:gridCol w:w="81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Layout w:type="fixed"/>
          <w:tblCellMar>
            <w:top w:w="0" w:type="dxa"/>
            <w:left w:w="0" w:type="dxa"/>
            <w:bottom w:w="0" w:type="dxa"/>
            <w:right w:w="0" w:type="dxa"/>
          </w:tblCellMar>
        </w:tblPrEx>
        <w:trPr>
          <w:jc w:val="center"/>
        </w:trPr>
        <w:tc>
          <w:tcPr>
            <w:tcW w:w="10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招聘岗位</w:t>
            </w:r>
          </w:p>
        </w:tc>
        <w:tc>
          <w:tcPr>
            <w:tcW w:w="52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岗位类别</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人数</w:t>
            </w:r>
          </w:p>
        </w:tc>
        <w:tc>
          <w:tcPr>
            <w:tcW w:w="122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岗位职责</w:t>
            </w:r>
          </w:p>
        </w:tc>
        <w:tc>
          <w:tcPr>
            <w:tcW w:w="1715"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招聘专业及学历（学位）要求</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招聘范围</w:t>
            </w:r>
          </w:p>
        </w:tc>
        <w:tc>
          <w:tcPr>
            <w:tcW w:w="814"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其他资格条件</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Layout w:type="fixed"/>
          <w:tblCellMar>
            <w:top w:w="0" w:type="dxa"/>
            <w:left w:w="0" w:type="dxa"/>
            <w:bottom w:w="0" w:type="dxa"/>
            <w:right w:w="0" w:type="dxa"/>
          </w:tblCellMar>
        </w:tblPrEx>
        <w:trPr>
          <w:jc w:val="center"/>
        </w:trPr>
        <w:tc>
          <w:tcPr>
            <w:tcW w:w="10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电子政务建设及运维管理</w:t>
            </w:r>
          </w:p>
        </w:tc>
        <w:tc>
          <w:tcPr>
            <w:tcW w:w="52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专技</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1</w:t>
            </w:r>
          </w:p>
        </w:tc>
        <w:tc>
          <w:tcPr>
            <w:tcW w:w="122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市电子政务公共平台及政务信息资源共享平台有关电子政务项目的规划、建设、运维管理等工作。</w:t>
            </w:r>
          </w:p>
        </w:tc>
        <w:tc>
          <w:tcPr>
            <w:tcW w:w="1715"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计算机科学与技术、通信工程、网络工程、信息与计算科学专业；本科及以上学历。</w:t>
            </w:r>
          </w:p>
        </w:tc>
        <w:tc>
          <w:tcPr>
            <w:tcW w:w="626"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浙江省户籍和生源</w:t>
            </w:r>
          </w:p>
        </w:tc>
        <w:tc>
          <w:tcPr>
            <w:tcW w:w="814" w:type="dxa"/>
            <w:vMerge w:val="restart"/>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符合下列条件之一：</w:t>
            </w:r>
          </w:p>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1、2017年全日制普通高校应届毕业生；</w:t>
            </w:r>
          </w:p>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2、历届生，年龄在35周岁以下。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tblLayout w:type="fixed"/>
          <w:tblCellMar>
            <w:top w:w="0" w:type="dxa"/>
            <w:left w:w="0" w:type="dxa"/>
            <w:bottom w:w="0" w:type="dxa"/>
            <w:right w:w="0" w:type="dxa"/>
          </w:tblCellMar>
        </w:tblPrEx>
        <w:trPr>
          <w:jc w:val="center"/>
        </w:trPr>
        <w:tc>
          <w:tcPr>
            <w:tcW w:w="10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信息系统建设及管理</w:t>
            </w:r>
          </w:p>
        </w:tc>
        <w:tc>
          <w:tcPr>
            <w:tcW w:w="526"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专技</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1</w:t>
            </w:r>
          </w:p>
        </w:tc>
        <w:tc>
          <w:tcPr>
            <w:tcW w:w="1227"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bottom w:val="none" w:color="auto" w:sz="0" w:space="0"/>
              </w:pBdr>
              <w:spacing w:line="225" w:lineRule="atLeast"/>
              <w:jc w:val="center"/>
            </w:pPr>
            <w:r>
              <w:rPr>
                <w:rFonts w:hint="eastAsia" w:ascii="微软雅黑" w:hAnsi="微软雅黑" w:eastAsia="微软雅黑" w:cs="微软雅黑"/>
                <w:color w:val="3D3D3D"/>
                <w:sz w:val="15"/>
                <w:szCs w:val="15"/>
                <w:u w:val="none"/>
                <w:bdr w:val="none" w:color="auto" w:sz="0" w:space="0"/>
              </w:rPr>
              <w:t>市公共信用信息服务及信息化平台有关项目的规划、建设、运维管理等工作</w:t>
            </w:r>
          </w:p>
        </w:tc>
        <w:tc>
          <w:tcPr>
            <w:tcW w:w="17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color w:val="3D3D3D"/>
                <w:sz w:val="15"/>
                <w:szCs w:val="15"/>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color w:val="3D3D3D"/>
                <w:sz w:val="15"/>
                <w:szCs w:val="15"/>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微软雅黑" w:hAnsi="微软雅黑" w:eastAsia="微软雅黑" w:cs="微软雅黑"/>
                <w:color w:val="3D3D3D"/>
                <w:sz w:val="15"/>
                <w:szCs w:val="15"/>
                <w:u w:val="none"/>
              </w:rPr>
            </w:pPr>
          </w:p>
        </w:tc>
      </w:tr>
    </w:tbl>
    <w:p>
      <w:pPr>
        <w:pStyle w:val="2"/>
        <w:keepNext w:val="0"/>
        <w:keepLines w:val="0"/>
        <w:widowControl/>
        <w:suppressLineNumbers w:val="0"/>
        <w:spacing w:line="326" w:lineRule="atLeast"/>
        <w:jc w:val="left"/>
      </w:pPr>
      <w:r>
        <w:rPr>
          <w:rFonts w:hint="eastAsia" w:ascii="微软雅黑" w:hAnsi="微软雅黑" w:eastAsia="微软雅黑" w:cs="微软雅黑"/>
          <w:color w:val="3D3D3D"/>
          <w:sz w:val="18"/>
          <w:szCs w:val="18"/>
          <w:u w:val="none"/>
          <w:bdr w:val="none" w:color="auto" w:sz="0" w:space="0"/>
        </w:rPr>
        <w:t>　　注：年龄的计算截止时间均为公告发布之日。属于2017年全日制普通高校应届毕业生暂未曾取得学历学位的，可凭就业协议和学校推荐表或学生证报名，但须于2017年8月31日前取得相应的学历学位，未取得的取消聘用资格；国外、港澳留学回国（境）人员报名时须提供国家教育部中国留学服务中心出具的境外学历、学位认证书，专业以所学课程名称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35051"/>
    <w:rsid w:val="716350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D3D3D"/>
      <w:u w:val="none"/>
    </w:rPr>
  </w:style>
  <w:style w:type="character" w:styleId="5">
    <w:name w:val="Hyperlink"/>
    <w:basedOn w:val="3"/>
    <w:uiPriority w:val="0"/>
    <w:rPr>
      <w:color w:val="3D3D3D"/>
      <w:u w:val="none"/>
    </w:rPr>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2017-07-11T15:08:00Z</dcterms:created>
  <dc:creator>ASUS</dc:creator>
  <cp:lastModifiedBy>ASUS</cp:lastModifiedBy>
  <dcterms:modified xsi:type="dcterms:W3CDTF">2017-07-11T15:08:54Z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