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0"/>
          <w:szCs w:val="20"/>
        </w:rPr>
        <w:t>1.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0"/>
          <w:szCs w:val="20"/>
        </w:rPr>
        <w:t> 本科及以上学历；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0"/>
          <w:szCs w:val="20"/>
        </w:rPr>
        <w:t>2. 工作勤奋、踏实，责任心强，有团队协作精神；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0"/>
          <w:szCs w:val="20"/>
        </w:rPr>
        <w:t>3. 具有高分子材料及化学相关专业知识背景者优先考虑；能够长期在该职位工作的优先考虑；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0"/>
          <w:szCs w:val="20"/>
        </w:rPr>
        <w:t>4. 待遇按照浙江大学项目聘用标准执行，具体面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108EA"/>
    <w:rsid w:val="2FC10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2017-06-13T11:23:00Z</dcterms:created>
  <dc:creator>ASUS</dc:creator>
  <cp:lastModifiedBy>ASUS</cp:lastModifiedBy>
  <dcterms:modified xsi:type="dcterms:W3CDTF">2017-06-13T11:23:41Z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