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13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bdr w:val="none" w:color="auto" w:sz="0" w:space="0"/>
          <w:shd w:val="clear" w:fill="FFFFFF"/>
        </w:rPr>
        <w:t>岗位及要求：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13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13"/>
          <w:sz w:val="17"/>
          <w:szCs w:val="17"/>
          <w:bdr w:val="none" w:color="auto" w:sz="0" w:space="0"/>
          <w:shd w:val="clear" w:fill="FFFFFF"/>
        </w:rPr>
        <w:t> </w:t>
      </w:r>
    </w:p>
    <w:tbl>
      <w:tblPr>
        <w:tblW w:w="7097" w:type="dxa"/>
        <w:tblInd w:w="-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895"/>
        <w:gridCol w:w="1974"/>
        <w:gridCol w:w="1501"/>
        <w:gridCol w:w="173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9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学历及专业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7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其他任职条件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（一）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大学本科及以上学历，专业不限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3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（二）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大学本科及以上学历，专业不限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13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男性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财务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大学本科及以上学历，会计学专业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30周岁以下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具有2年以上会计工作经历、会计初级职称(此岗位主要从事国有资产一线稽查，适合男性)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调解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大专及以上学历，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法律相关专业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EEE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3"/>
                <w:sz w:val="24"/>
                <w:szCs w:val="24"/>
                <w:bdr w:val="none" w:color="auto" w:sz="0" w:space="0"/>
              </w:rPr>
              <w:t>具有1年以上基层信访、调解工作经历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27980"/>
    <w:rsid w:val="1BA2798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2018-06-27T09:57:00Z</dcterms:created>
  <dc:creator>ASUS</dc:creator>
  <cp:lastModifiedBy>ASUS</cp:lastModifiedBy>
  <dcterms:modified xsi:type="dcterms:W3CDTF">2018-06-27T09:58:00Z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