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A4" w:rsidRDefault="00696FA4">
      <w:pPr>
        <w:adjustRightInd w:val="0"/>
        <w:snapToGrid w:val="0"/>
        <w:spacing w:line="440" w:lineRule="exact"/>
        <w:ind w:left="210" w:rightChars="8" w:right="17" w:firstLineChars="200" w:firstLine="560"/>
        <w:rPr>
          <w:rFonts w:ascii="宋体" w:cs="Times New Roman"/>
          <w:sz w:val="28"/>
          <w:szCs w:val="28"/>
        </w:rPr>
      </w:pPr>
    </w:p>
    <w:p w:rsidR="00696FA4" w:rsidRDefault="00696FA4">
      <w:pPr>
        <w:widowControl/>
        <w:spacing w:line="300" w:lineRule="exact"/>
        <w:ind w:right="210"/>
        <w:jc w:val="left"/>
        <w:textAlignment w:val="center"/>
        <w:rPr>
          <w:rFonts w:ascii="宋体" w:cs="宋体"/>
          <w:sz w:val="32"/>
          <w:szCs w:val="32"/>
        </w:rPr>
      </w:pPr>
      <w:r>
        <w:rPr>
          <w:rFonts w:ascii="宋体" w:hAnsi="宋体" w:cs="宋体" w:hint="eastAsia"/>
          <w:sz w:val="32"/>
          <w:szCs w:val="32"/>
        </w:rPr>
        <w:t>附件</w:t>
      </w:r>
      <w:r>
        <w:rPr>
          <w:rFonts w:ascii="宋体" w:hAnsi="宋体" w:cs="宋体"/>
          <w:sz w:val="32"/>
          <w:szCs w:val="32"/>
        </w:rPr>
        <w:t>1</w:t>
      </w:r>
    </w:p>
    <w:p w:rsidR="00696FA4" w:rsidRDefault="00696FA4">
      <w:pPr>
        <w:widowControl/>
        <w:spacing w:line="300" w:lineRule="exact"/>
        <w:ind w:left="210" w:right="210"/>
        <w:jc w:val="left"/>
        <w:textAlignment w:val="center"/>
        <w:rPr>
          <w:rFonts w:eastAsia="仿宋_GB2312" w:cs="Times New Roman"/>
          <w:sz w:val="22"/>
          <w:szCs w:val="22"/>
        </w:rPr>
      </w:pPr>
      <w:r>
        <w:rPr>
          <w:rFonts w:eastAsia="仿宋_GB2312"/>
          <w:sz w:val="22"/>
          <w:szCs w:val="22"/>
        </w:rPr>
        <w:fldChar w:fldCharType="begin"/>
      </w:r>
      <w:r>
        <w:rPr>
          <w:rFonts w:eastAsia="仿宋_GB2312"/>
          <w:sz w:val="22"/>
          <w:szCs w:val="22"/>
        </w:rPr>
        <w:instrText xml:space="preserve"> HYPERLINK "http://www.tzswjw.gov.cn/adm/kindeditor/attached/file/20171225/20171225172241_64810.xls" \t "_blank" </w:instrText>
      </w:r>
      <w:r w:rsidRPr="003E3991">
        <w:rPr>
          <w:rFonts w:eastAsia="仿宋_GB2312"/>
          <w:sz w:val="22"/>
          <w:szCs w:val="22"/>
        </w:rPr>
      </w:r>
      <w:r>
        <w:rPr>
          <w:rFonts w:eastAsia="仿宋_GB2312"/>
          <w:sz w:val="22"/>
          <w:szCs w:val="22"/>
        </w:rPr>
        <w:fldChar w:fldCharType="separate"/>
      </w:r>
    </w:p>
    <w:p w:rsidR="00696FA4" w:rsidRDefault="00696FA4">
      <w:pPr>
        <w:widowControl/>
        <w:adjustRightInd w:val="0"/>
        <w:snapToGrid w:val="0"/>
        <w:spacing w:line="560" w:lineRule="exact"/>
        <w:ind w:rightChars="-10" w:right="-21"/>
        <w:jc w:val="center"/>
        <w:rPr>
          <w:rFonts w:ascii="方正小标宋简体" w:eastAsia="方正小标宋简体" w:hAnsi="方正小标宋简体" w:cs="Times New Roman"/>
          <w:sz w:val="36"/>
          <w:szCs w:val="36"/>
        </w:rPr>
      </w:pPr>
      <w:r>
        <w:rPr>
          <w:rFonts w:ascii="方正小标宋简体" w:eastAsia="方正小标宋简体" w:hAnsi="方正小标宋简体" w:cs="方正小标宋简体" w:hint="eastAsia"/>
          <w:sz w:val="36"/>
          <w:szCs w:val="36"/>
        </w:rPr>
        <w:t>台州市卫生和计划生育委员会下属事业单位台州市中医院公开招聘卫技高层次人才计划表</w:t>
      </w:r>
      <w:r>
        <w:rPr>
          <w:rFonts w:eastAsia="仿宋_GB2312"/>
          <w:sz w:val="22"/>
          <w:szCs w:val="22"/>
        </w:rPr>
        <w:fldChar w:fldCharType="end"/>
      </w:r>
    </w:p>
    <w:p w:rsidR="00696FA4" w:rsidRDefault="00696FA4">
      <w:pPr>
        <w:widowControl/>
        <w:adjustRightInd w:val="0"/>
        <w:snapToGrid w:val="0"/>
        <w:spacing w:line="560" w:lineRule="exact"/>
        <w:ind w:rightChars="-10" w:right="-21"/>
        <w:jc w:val="center"/>
        <w:rPr>
          <w:rFonts w:ascii="方正小标宋简体" w:eastAsia="方正小标宋简体" w:hAnsi="方正小标宋简体" w:cs="Times New Roman"/>
          <w:sz w:val="36"/>
          <w:szCs w:val="36"/>
        </w:rPr>
      </w:pPr>
    </w:p>
    <w:tbl>
      <w:tblPr>
        <w:tblW w:w="14140" w:type="dxa"/>
        <w:jc w:val="center"/>
        <w:tblLayout w:type="fixed"/>
        <w:tblCellMar>
          <w:top w:w="15" w:type="dxa"/>
          <w:left w:w="15" w:type="dxa"/>
          <w:bottom w:w="15" w:type="dxa"/>
          <w:right w:w="15" w:type="dxa"/>
        </w:tblCellMar>
        <w:tblLook w:val="00A0"/>
      </w:tblPr>
      <w:tblGrid>
        <w:gridCol w:w="522"/>
        <w:gridCol w:w="1317"/>
        <w:gridCol w:w="965"/>
        <w:gridCol w:w="840"/>
        <w:gridCol w:w="780"/>
        <w:gridCol w:w="1181"/>
        <w:gridCol w:w="2689"/>
        <w:gridCol w:w="1470"/>
        <w:gridCol w:w="1035"/>
        <w:gridCol w:w="1770"/>
        <w:gridCol w:w="1571"/>
      </w:tblGrid>
      <w:tr w:rsidR="00696FA4">
        <w:trPr>
          <w:trHeight w:val="725"/>
          <w:jc w:val="center"/>
        </w:trPr>
        <w:tc>
          <w:tcPr>
            <w:tcW w:w="522" w:type="dxa"/>
            <w:vMerge w:val="restart"/>
            <w:tcBorders>
              <w:top w:val="single" w:sz="4" w:space="0" w:color="000000"/>
              <w:left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序号</w:t>
            </w:r>
          </w:p>
        </w:tc>
        <w:tc>
          <w:tcPr>
            <w:tcW w:w="1317" w:type="dxa"/>
            <w:vMerge w:val="restart"/>
            <w:tcBorders>
              <w:top w:val="single" w:sz="4" w:space="0" w:color="000000"/>
              <w:left w:val="single" w:sz="4" w:space="0" w:color="000000"/>
              <w:right w:val="single" w:sz="4" w:space="0" w:color="000000"/>
            </w:tcBorders>
            <w:vAlign w:val="center"/>
          </w:tcPr>
          <w:p w:rsidR="00696FA4" w:rsidRDefault="00696FA4">
            <w:pPr>
              <w:widowControl/>
              <w:spacing w:line="220" w:lineRule="exact"/>
              <w:ind w:left="210" w:right="210"/>
              <w:jc w:val="center"/>
              <w:textAlignment w:val="center"/>
              <w:rPr>
                <w:rFonts w:eastAsia="仿宋_GB2312" w:cs="Times New Roman"/>
                <w:b/>
                <w:bCs/>
                <w:sz w:val="24"/>
                <w:szCs w:val="24"/>
              </w:rPr>
            </w:pPr>
            <w:r>
              <w:rPr>
                <w:rFonts w:eastAsia="仿宋_GB2312" w:cs="仿宋_GB2312" w:hint="eastAsia"/>
                <w:b/>
                <w:bCs/>
                <w:sz w:val="24"/>
                <w:szCs w:val="24"/>
              </w:rPr>
              <w:t>单位</w:t>
            </w:r>
          </w:p>
          <w:p w:rsidR="00696FA4" w:rsidRDefault="00696FA4">
            <w:pPr>
              <w:widowControl/>
              <w:spacing w:line="220" w:lineRule="exact"/>
              <w:ind w:left="210" w:right="210"/>
              <w:jc w:val="center"/>
              <w:textAlignment w:val="center"/>
              <w:rPr>
                <w:rFonts w:eastAsia="仿宋_GB2312" w:cs="Times New Roman"/>
                <w:b/>
                <w:bCs/>
                <w:sz w:val="24"/>
                <w:szCs w:val="24"/>
              </w:rPr>
            </w:pPr>
            <w:r>
              <w:rPr>
                <w:rFonts w:eastAsia="仿宋_GB2312" w:cs="仿宋_GB2312" w:hint="eastAsia"/>
                <w:b/>
                <w:bCs/>
                <w:sz w:val="24"/>
                <w:szCs w:val="24"/>
              </w:rPr>
              <w:t>性质</w:t>
            </w:r>
          </w:p>
        </w:tc>
        <w:tc>
          <w:tcPr>
            <w:tcW w:w="2585" w:type="dxa"/>
            <w:gridSpan w:val="3"/>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b/>
                <w:bCs/>
                <w:sz w:val="24"/>
                <w:szCs w:val="24"/>
              </w:rPr>
              <w:t>2019</w:t>
            </w:r>
            <w:r>
              <w:rPr>
                <w:rFonts w:eastAsia="仿宋_GB2312" w:cs="仿宋_GB2312" w:hint="eastAsia"/>
                <w:b/>
                <w:bCs/>
                <w:sz w:val="24"/>
                <w:szCs w:val="24"/>
              </w:rPr>
              <w:t>年招聘计划</w:t>
            </w:r>
          </w:p>
        </w:tc>
        <w:tc>
          <w:tcPr>
            <w:tcW w:w="5340" w:type="dxa"/>
            <w:gridSpan w:val="3"/>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所需资格条件</w:t>
            </w:r>
          </w:p>
        </w:tc>
        <w:tc>
          <w:tcPr>
            <w:tcW w:w="1035" w:type="dxa"/>
            <w:vMerge w:val="restart"/>
            <w:tcBorders>
              <w:top w:val="single" w:sz="4" w:space="0" w:color="000000"/>
              <w:left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面试分数比例</w:t>
            </w:r>
          </w:p>
        </w:tc>
        <w:tc>
          <w:tcPr>
            <w:tcW w:w="1770" w:type="dxa"/>
            <w:vMerge w:val="restart"/>
            <w:tcBorders>
              <w:top w:val="single" w:sz="4" w:space="0" w:color="000000"/>
              <w:left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联系电话</w:t>
            </w:r>
          </w:p>
        </w:tc>
        <w:tc>
          <w:tcPr>
            <w:tcW w:w="1571" w:type="dxa"/>
            <w:vMerge w:val="restart"/>
            <w:tcBorders>
              <w:top w:val="single" w:sz="4" w:space="0" w:color="000000"/>
              <w:left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备注</w:t>
            </w:r>
          </w:p>
        </w:tc>
      </w:tr>
      <w:tr w:rsidR="00696FA4">
        <w:trPr>
          <w:trHeight w:val="794"/>
          <w:jc w:val="center"/>
        </w:trPr>
        <w:tc>
          <w:tcPr>
            <w:tcW w:w="522" w:type="dxa"/>
            <w:vMerge/>
            <w:tcBorders>
              <w:left w:val="single" w:sz="4" w:space="0" w:color="000000"/>
              <w:bottom w:val="single" w:sz="4" w:space="0" w:color="000000"/>
              <w:right w:val="single" w:sz="4" w:space="0" w:color="000000"/>
            </w:tcBorders>
            <w:vAlign w:val="center"/>
          </w:tcPr>
          <w:p w:rsidR="00696FA4" w:rsidRDefault="00696FA4">
            <w:pPr>
              <w:widowControl/>
              <w:spacing w:line="220" w:lineRule="exact"/>
              <w:ind w:left="210" w:right="210"/>
              <w:jc w:val="center"/>
              <w:rPr>
                <w:rFonts w:ascii="宋体" w:cs="Times New Roman"/>
                <w:b/>
                <w:bCs/>
                <w:color w:val="000000"/>
                <w:sz w:val="20"/>
                <w:szCs w:val="20"/>
              </w:rPr>
            </w:pPr>
          </w:p>
        </w:tc>
        <w:tc>
          <w:tcPr>
            <w:tcW w:w="1317" w:type="dxa"/>
            <w:vMerge/>
            <w:tcBorders>
              <w:left w:val="single" w:sz="4" w:space="0" w:color="000000"/>
              <w:bottom w:val="single" w:sz="4" w:space="0" w:color="000000"/>
              <w:right w:val="single" w:sz="4" w:space="0" w:color="000000"/>
            </w:tcBorders>
            <w:vAlign w:val="center"/>
          </w:tcPr>
          <w:p w:rsidR="00696FA4" w:rsidRDefault="00696FA4">
            <w:pPr>
              <w:widowControl/>
              <w:spacing w:line="220" w:lineRule="exact"/>
              <w:ind w:left="210" w:right="210"/>
              <w:jc w:val="center"/>
              <w:rPr>
                <w:rFonts w:ascii="宋体" w:cs="Times New Roman"/>
                <w:b/>
                <w:bCs/>
                <w:color w:val="000000"/>
                <w:sz w:val="20"/>
                <w:szCs w:val="20"/>
              </w:rPr>
            </w:pPr>
          </w:p>
        </w:tc>
        <w:tc>
          <w:tcPr>
            <w:tcW w:w="965"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职位</w:t>
            </w:r>
          </w:p>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名称</w:t>
            </w:r>
          </w:p>
        </w:tc>
        <w:tc>
          <w:tcPr>
            <w:tcW w:w="840"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岗位</w:t>
            </w:r>
          </w:p>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类别</w:t>
            </w:r>
          </w:p>
        </w:tc>
        <w:tc>
          <w:tcPr>
            <w:tcW w:w="780"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人数</w:t>
            </w:r>
          </w:p>
        </w:tc>
        <w:tc>
          <w:tcPr>
            <w:tcW w:w="1181"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学历</w:t>
            </w:r>
            <w:r>
              <w:rPr>
                <w:rFonts w:eastAsia="仿宋_GB2312"/>
                <w:b/>
                <w:bCs/>
                <w:sz w:val="24"/>
                <w:szCs w:val="24"/>
              </w:rPr>
              <w:t>/</w:t>
            </w:r>
            <w:r>
              <w:rPr>
                <w:rFonts w:eastAsia="仿宋_GB2312" w:cs="仿宋_GB2312" w:hint="eastAsia"/>
                <w:b/>
                <w:bCs/>
                <w:sz w:val="24"/>
                <w:szCs w:val="24"/>
              </w:rPr>
              <w:t>学位</w:t>
            </w:r>
          </w:p>
        </w:tc>
        <w:tc>
          <w:tcPr>
            <w:tcW w:w="2689"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学历专业</w:t>
            </w:r>
          </w:p>
        </w:tc>
        <w:tc>
          <w:tcPr>
            <w:tcW w:w="1470" w:type="dxa"/>
            <w:tcBorders>
              <w:top w:val="single" w:sz="4" w:space="0" w:color="000000"/>
              <w:left w:val="single" w:sz="4" w:space="0" w:color="000000"/>
              <w:bottom w:val="single" w:sz="4" w:space="0" w:color="000000"/>
              <w:right w:val="single" w:sz="4" w:space="0" w:color="000000"/>
            </w:tcBorders>
            <w:vAlign w:val="center"/>
          </w:tcPr>
          <w:p w:rsidR="00696FA4" w:rsidRDefault="00696FA4">
            <w:pPr>
              <w:widowControl/>
              <w:spacing w:line="220" w:lineRule="exact"/>
              <w:ind w:right="210"/>
              <w:jc w:val="center"/>
              <w:textAlignment w:val="center"/>
              <w:rPr>
                <w:rFonts w:eastAsia="仿宋_GB2312" w:cs="Times New Roman"/>
                <w:b/>
                <w:bCs/>
                <w:sz w:val="24"/>
                <w:szCs w:val="24"/>
              </w:rPr>
            </w:pPr>
            <w:r>
              <w:rPr>
                <w:rFonts w:eastAsia="仿宋_GB2312" w:cs="仿宋_GB2312" w:hint="eastAsia"/>
                <w:b/>
                <w:bCs/>
                <w:sz w:val="24"/>
                <w:szCs w:val="24"/>
              </w:rPr>
              <w:t>其他资格条件</w:t>
            </w:r>
          </w:p>
        </w:tc>
        <w:tc>
          <w:tcPr>
            <w:tcW w:w="1035" w:type="dxa"/>
            <w:vMerge/>
            <w:tcBorders>
              <w:left w:val="single" w:sz="4" w:space="0" w:color="000000"/>
              <w:bottom w:val="single" w:sz="4" w:space="0" w:color="000000"/>
              <w:right w:val="single" w:sz="4" w:space="0" w:color="000000"/>
            </w:tcBorders>
            <w:vAlign w:val="center"/>
          </w:tcPr>
          <w:p w:rsidR="00696FA4" w:rsidRDefault="00696FA4">
            <w:pPr>
              <w:widowControl/>
              <w:spacing w:line="220" w:lineRule="exact"/>
              <w:ind w:right="210"/>
              <w:rPr>
                <w:rFonts w:eastAsia="仿宋_GB2312" w:cs="Times New Roman"/>
                <w:sz w:val="24"/>
                <w:szCs w:val="24"/>
              </w:rPr>
            </w:pPr>
          </w:p>
        </w:tc>
        <w:tc>
          <w:tcPr>
            <w:tcW w:w="1770" w:type="dxa"/>
            <w:vMerge/>
            <w:tcBorders>
              <w:left w:val="single" w:sz="4" w:space="0" w:color="000000"/>
              <w:bottom w:val="single" w:sz="4" w:space="0" w:color="000000"/>
              <w:right w:val="single" w:sz="4" w:space="0" w:color="000000"/>
            </w:tcBorders>
            <w:vAlign w:val="center"/>
          </w:tcPr>
          <w:p w:rsidR="00696FA4" w:rsidRDefault="00696FA4">
            <w:pPr>
              <w:widowControl/>
              <w:spacing w:line="220" w:lineRule="exact"/>
              <w:ind w:right="210"/>
              <w:rPr>
                <w:rFonts w:eastAsia="仿宋_GB2312" w:cs="Times New Roman"/>
                <w:sz w:val="24"/>
                <w:szCs w:val="24"/>
              </w:rPr>
            </w:pPr>
          </w:p>
        </w:tc>
        <w:tc>
          <w:tcPr>
            <w:tcW w:w="1571" w:type="dxa"/>
            <w:vMerge/>
            <w:tcBorders>
              <w:left w:val="single" w:sz="4" w:space="0" w:color="000000"/>
              <w:bottom w:val="single" w:sz="4" w:space="0" w:color="000000"/>
              <w:right w:val="single" w:sz="4" w:space="0" w:color="000000"/>
            </w:tcBorders>
            <w:vAlign w:val="center"/>
          </w:tcPr>
          <w:p w:rsidR="00696FA4" w:rsidRDefault="00696FA4">
            <w:pPr>
              <w:widowControl/>
              <w:spacing w:line="220" w:lineRule="exact"/>
              <w:ind w:right="210"/>
              <w:rPr>
                <w:rFonts w:eastAsia="仿宋_GB2312" w:cs="Times New Roman"/>
                <w:sz w:val="24"/>
                <w:szCs w:val="24"/>
              </w:rPr>
            </w:pPr>
          </w:p>
        </w:tc>
      </w:tr>
      <w:tr w:rsidR="00696FA4">
        <w:trPr>
          <w:trHeight w:val="2233"/>
          <w:jc w:val="center"/>
        </w:trPr>
        <w:tc>
          <w:tcPr>
            <w:tcW w:w="522"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left="210" w:right="210"/>
              <w:jc w:val="center"/>
              <w:textAlignment w:val="center"/>
              <w:rPr>
                <w:rFonts w:eastAsia="仿宋_GB2312"/>
                <w:sz w:val="24"/>
                <w:szCs w:val="24"/>
              </w:rPr>
            </w:pPr>
            <w:r>
              <w:rPr>
                <w:rFonts w:eastAsia="仿宋_GB2312"/>
                <w:sz w:val="24"/>
                <w:szCs w:val="24"/>
              </w:rPr>
              <w:t>1</w:t>
            </w:r>
          </w:p>
        </w:tc>
        <w:tc>
          <w:tcPr>
            <w:tcW w:w="1317"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left="210" w:right="210"/>
              <w:jc w:val="center"/>
              <w:textAlignment w:val="center"/>
              <w:rPr>
                <w:rFonts w:eastAsia="仿宋_GB2312" w:cs="Times New Roman"/>
                <w:sz w:val="24"/>
                <w:szCs w:val="24"/>
              </w:rPr>
            </w:pPr>
            <w:r>
              <w:rPr>
                <w:rFonts w:eastAsia="仿宋_GB2312" w:cs="仿宋_GB2312" w:hint="eastAsia"/>
                <w:sz w:val="24"/>
                <w:szCs w:val="24"/>
              </w:rPr>
              <w:t>公益二类</w:t>
            </w:r>
            <w:r>
              <w:rPr>
                <w:rFonts w:eastAsia="仿宋_GB2312"/>
                <w:sz w:val="24"/>
                <w:szCs w:val="24"/>
              </w:rPr>
              <w:t>/</w:t>
            </w:r>
            <w:r>
              <w:rPr>
                <w:rFonts w:eastAsia="仿宋_GB2312" w:cs="仿宋_GB2312" w:hint="eastAsia"/>
                <w:sz w:val="24"/>
                <w:szCs w:val="24"/>
              </w:rPr>
              <w:t>差额拨款</w:t>
            </w:r>
          </w:p>
        </w:tc>
        <w:tc>
          <w:tcPr>
            <w:tcW w:w="965"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leftChars="50" w:left="105" w:right="210"/>
              <w:jc w:val="center"/>
              <w:textAlignment w:val="center"/>
              <w:rPr>
                <w:rFonts w:eastAsia="仿宋_GB2312" w:cs="Times New Roman"/>
                <w:sz w:val="24"/>
                <w:szCs w:val="24"/>
              </w:rPr>
            </w:pPr>
            <w:r>
              <w:rPr>
                <w:rFonts w:eastAsia="仿宋_GB2312" w:cs="仿宋_GB2312" w:hint="eastAsia"/>
                <w:sz w:val="24"/>
                <w:szCs w:val="24"/>
              </w:rPr>
              <w:t>临床医生</w:t>
            </w:r>
          </w:p>
        </w:tc>
        <w:tc>
          <w:tcPr>
            <w:tcW w:w="840"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right="210"/>
              <w:jc w:val="center"/>
              <w:textAlignment w:val="center"/>
              <w:rPr>
                <w:rFonts w:eastAsia="仿宋_GB2312" w:cs="Times New Roman"/>
                <w:sz w:val="24"/>
                <w:szCs w:val="24"/>
              </w:rPr>
            </w:pPr>
            <w:r>
              <w:rPr>
                <w:rFonts w:eastAsia="仿宋_GB2312"/>
                <w:sz w:val="24"/>
                <w:szCs w:val="24"/>
              </w:rPr>
              <w:t xml:space="preserve"> </w:t>
            </w:r>
            <w:r>
              <w:rPr>
                <w:rFonts w:eastAsia="仿宋_GB2312" w:cs="仿宋_GB2312" w:hint="eastAsia"/>
                <w:sz w:val="24"/>
                <w:szCs w:val="24"/>
              </w:rPr>
              <w:t>专技</w:t>
            </w:r>
          </w:p>
        </w:tc>
        <w:tc>
          <w:tcPr>
            <w:tcW w:w="780"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right="210" w:firstLineChars="50" w:firstLine="120"/>
              <w:jc w:val="center"/>
              <w:textAlignment w:val="center"/>
              <w:rPr>
                <w:rFonts w:eastAsia="仿宋_GB2312"/>
                <w:sz w:val="24"/>
                <w:szCs w:val="24"/>
              </w:rPr>
            </w:pPr>
            <w:r>
              <w:rPr>
                <w:rFonts w:eastAsia="仿宋_GB2312"/>
                <w:sz w:val="24"/>
                <w:szCs w:val="24"/>
              </w:rPr>
              <w:t>22</w:t>
            </w:r>
          </w:p>
        </w:tc>
        <w:tc>
          <w:tcPr>
            <w:tcW w:w="1181"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right="210"/>
              <w:jc w:val="center"/>
              <w:textAlignment w:val="center"/>
              <w:rPr>
                <w:rFonts w:eastAsia="仿宋_GB2312" w:cs="Times New Roman"/>
                <w:sz w:val="24"/>
                <w:szCs w:val="24"/>
              </w:rPr>
            </w:pPr>
            <w:r>
              <w:rPr>
                <w:rFonts w:eastAsia="仿宋_GB2312" w:cs="仿宋_GB2312" w:hint="eastAsia"/>
                <w:sz w:val="24"/>
                <w:szCs w:val="24"/>
              </w:rPr>
              <w:t>全日制普通高校研究生</w:t>
            </w:r>
            <w:r>
              <w:rPr>
                <w:rFonts w:eastAsia="仿宋_GB2312"/>
                <w:sz w:val="24"/>
                <w:szCs w:val="24"/>
              </w:rPr>
              <w:t>/</w:t>
            </w:r>
            <w:r>
              <w:rPr>
                <w:rFonts w:eastAsia="仿宋_GB2312" w:cs="仿宋_GB2312" w:hint="eastAsia"/>
                <w:sz w:val="24"/>
                <w:szCs w:val="24"/>
              </w:rPr>
              <w:t>硕士及以上</w:t>
            </w:r>
          </w:p>
        </w:tc>
        <w:tc>
          <w:tcPr>
            <w:tcW w:w="2689"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right="210"/>
              <w:jc w:val="center"/>
              <w:textAlignment w:val="center"/>
              <w:rPr>
                <w:rFonts w:eastAsia="仿宋_GB2312" w:cs="Times New Roman"/>
                <w:sz w:val="24"/>
                <w:szCs w:val="24"/>
              </w:rPr>
            </w:pPr>
            <w:r>
              <w:rPr>
                <w:rFonts w:eastAsia="仿宋_GB2312" w:cs="仿宋_GB2312" w:hint="eastAsia"/>
                <w:sz w:val="24"/>
                <w:szCs w:val="24"/>
              </w:rPr>
              <w:t>中西医结合临床、心血管内科、神经内科、内分泌科、呼吸内科、消化内科、神经外科、骨科、口腔医学、眼科、耳鼻喉科、中医妇科、康复、针灸、推拿、急诊医学、重症医学等</w:t>
            </w:r>
          </w:p>
        </w:tc>
        <w:tc>
          <w:tcPr>
            <w:tcW w:w="1470"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jc w:val="left"/>
              <w:textAlignment w:val="center"/>
              <w:rPr>
                <w:rFonts w:eastAsia="仿宋_GB2312" w:cs="Times New Roman"/>
                <w:sz w:val="24"/>
                <w:szCs w:val="24"/>
              </w:rPr>
            </w:pPr>
            <w:r>
              <w:rPr>
                <w:rFonts w:eastAsia="仿宋_GB2312"/>
                <w:sz w:val="24"/>
                <w:szCs w:val="24"/>
              </w:rPr>
              <w:t>2019</w:t>
            </w:r>
            <w:r>
              <w:rPr>
                <w:rFonts w:eastAsia="仿宋_GB2312" w:cs="仿宋_GB2312" w:hint="eastAsia"/>
                <w:sz w:val="24"/>
                <w:szCs w:val="24"/>
              </w:rPr>
              <w:t>年应届毕业生，户籍不限。</w:t>
            </w:r>
            <w:r>
              <w:rPr>
                <w:rFonts w:eastAsia="仿宋_GB2312"/>
                <w:sz w:val="24"/>
                <w:szCs w:val="24"/>
              </w:rPr>
              <w:t xml:space="preserve">     </w:t>
            </w:r>
            <w:r>
              <w:rPr>
                <w:rFonts w:ascii="宋体" w:hAnsi="宋体" w:cs="宋体"/>
                <w:color w:val="000000"/>
                <w:kern w:val="0"/>
                <w:sz w:val="20"/>
                <w:szCs w:val="20"/>
              </w:rPr>
              <w:t xml:space="preserve">                                            </w:t>
            </w:r>
          </w:p>
        </w:tc>
        <w:tc>
          <w:tcPr>
            <w:tcW w:w="1035"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left="210" w:right="210"/>
              <w:jc w:val="center"/>
              <w:textAlignment w:val="center"/>
              <w:rPr>
                <w:rFonts w:eastAsia="仿宋_GB2312"/>
                <w:sz w:val="24"/>
                <w:szCs w:val="24"/>
              </w:rPr>
            </w:pPr>
            <w:r>
              <w:rPr>
                <w:rFonts w:eastAsia="仿宋_GB2312"/>
                <w:sz w:val="24"/>
                <w:szCs w:val="24"/>
              </w:rPr>
              <w:t>100%</w:t>
            </w:r>
          </w:p>
        </w:tc>
        <w:tc>
          <w:tcPr>
            <w:tcW w:w="1770"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rightChars="-11" w:right="-23"/>
              <w:jc w:val="center"/>
              <w:textAlignment w:val="center"/>
              <w:rPr>
                <w:rFonts w:eastAsia="仿宋_GB2312"/>
                <w:sz w:val="24"/>
                <w:szCs w:val="24"/>
              </w:rPr>
            </w:pPr>
            <w:r>
              <w:rPr>
                <w:rFonts w:eastAsia="仿宋_GB2312"/>
                <w:sz w:val="24"/>
                <w:szCs w:val="24"/>
              </w:rPr>
              <w:t>0576-88825619</w:t>
            </w:r>
            <w:r>
              <w:rPr>
                <w:rFonts w:eastAsia="仿宋_GB2312"/>
                <w:sz w:val="24"/>
                <w:szCs w:val="24"/>
              </w:rPr>
              <w:br/>
              <w:t>13606665666</w:t>
            </w:r>
          </w:p>
        </w:tc>
        <w:tc>
          <w:tcPr>
            <w:tcW w:w="1571" w:type="dxa"/>
            <w:tcBorders>
              <w:top w:val="single" w:sz="4" w:space="0" w:color="000000"/>
              <w:left w:val="single" w:sz="4" w:space="0" w:color="000000"/>
              <w:bottom w:val="single" w:sz="4" w:space="0" w:color="auto"/>
              <w:right w:val="single" w:sz="4" w:space="0" w:color="000000"/>
            </w:tcBorders>
            <w:vAlign w:val="center"/>
          </w:tcPr>
          <w:p w:rsidR="00696FA4" w:rsidRDefault="00696FA4">
            <w:pPr>
              <w:widowControl/>
              <w:spacing w:line="300" w:lineRule="exact"/>
              <w:ind w:left="210" w:right="210"/>
              <w:jc w:val="center"/>
              <w:textAlignment w:val="center"/>
              <w:rPr>
                <w:rFonts w:eastAsia="仿宋_GB2312" w:cs="Times New Roman"/>
                <w:sz w:val="24"/>
                <w:szCs w:val="24"/>
              </w:rPr>
            </w:pPr>
            <w:r>
              <w:rPr>
                <w:rFonts w:eastAsia="仿宋_GB2312" w:cs="仿宋_GB2312" w:hint="eastAsia"/>
                <w:sz w:val="24"/>
                <w:szCs w:val="24"/>
              </w:rPr>
              <w:t>开考比例不受限制。</w:t>
            </w:r>
          </w:p>
        </w:tc>
      </w:tr>
      <w:tr w:rsidR="00696FA4">
        <w:trPr>
          <w:trHeight w:val="1691"/>
          <w:jc w:val="center"/>
        </w:trPr>
        <w:tc>
          <w:tcPr>
            <w:tcW w:w="522" w:type="dxa"/>
            <w:tcBorders>
              <w:top w:val="single" w:sz="4" w:space="0" w:color="auto"/>
              <w:left w:val="single" w:sz="4" w:space="0" w:color="000000"/>
              <w:bottom w:val="single" w:sz="4" w:space="0" w:color="000000"/>
              <w:right w:val="single" w:sz="4" w:space="0" w:color="000000"/>
            </w:tcBorders>
            <w:vAlign w:val="center"/>
          </w:tcPr>
          <w:p w:rsidR="00696FA4" w:rsidRDefault="00696FA4">
            <w:pPr>
              <w:spacing w:line="300" w:lineRule="exact"/>
              <w:ind w:left="210" w:right="210"/>
              <w:jc w:val="center"/>
              <w:textAlignment w:val="center"/>
              <w:rPr>
                <w:rFonts w:eastAsia="仿宋_GB2312"/>
                <w:sz w:val="24"/>
                <w:szCs w:val="24"/>
              </w:rPr>
            </w:pPr>
            <w:r>
              <w:rPr>
                <w:rFonts w:eastAsia="仿宋_GB2312"/>
                <w:sz w:val="24"/>
                <w:szCs w:val="24"/>
              </w:rPr>
              <w:t>2</w:t>
            </w:r>
          </w:p>
        </w:tc>
        <w:tc>
          <w:tcPr>
            <w:tcW w:w="1317" w:type="dxa"/>
            <w:tcBorders>
              <w:top w:val="single" w:sz="4" w:space="0" w:color="auto"/>
              <w:left w:val="single" w:sz="4" w:space="0" w:color="000000"/>
              <w:bottom w:val="single" w:sz="4" w:space="0" w:color="000000"/>
              <w:right w:val="single" w:sz="4" w:space="0" w:color="000000"/>
            </w:tcBorders>
            <w:vAlign w:val="center"/>
          </w:tcPr>
          <w:p w:rsidR="00696FA4" w:rsidRDefault="00696FA4">
            <w:pPr>
              <w:spacing w:line="300" w:lineRule="exact"/>
              <w:ind w:left="210" w:right="210"/>
              <w:jc w:val="center"/>
              <w:textAlignment w:val="center"/>
              <w:rPr>
                <w:rFonts w:eastAsia="仿宋_GB2312" w:cs="Times New Roman"/>
                <w:sz w:val="24"/>
                <w:szCs w:val="24"/>
              </w:rPr>
            </w:pPr>
            <w:r>
              <w:rPr>
                <w:rFonts w:eastAsia="仿宋_GB2312" w:cs="仿宋_GB2312" w:hint="eastAsia"/>
                <w:sz w:val="24"/>
                <w:szCs w:val="24"/>
              </w:rPr>
              <w:t>公益二类</w:t>
            </w:r>
            <w:r>
              <w:rPr>
                <w:rFonts w:eastAsia="仿宋_GB2312"/>
                <w:sz w:val="24"/>
                <w:szCs w:val="24"/>
              </w:rPr>
              <w:t>/</w:t>
            </w:r>
            <w:r>
              <w:rPr>
                <w:rFonts w:eastAsia="仿宋_GB2312" w:cs="仿宋_GB2312" w:hint="eastAsia"/>
                <w:sz w:val="24"/>
                <w:szCs w:val="24"/>
              </w:rPr>
              <w:t>差额拨款</w:t>
            </w:r>
          </w:p>
        </w:tc>
        <w:tc>
          <w:tcPr>
            <w:tcW w:w="965" w:type="dxa"/>
            <w:tcBorders>
              <w:top w:val="single" w:sz="4" w:space="0" w:color="auto"/>
              <w:left w:val="single" w:sz="4" w:space="0" w:color="000000"/>
              <w:bottom w:val="single" w:sz="4" w:space="0" w:color="000000"/>
              <w:right w:val="single" w:sz="4" w:space="0" w:color="000000"/>
            </w:tcBorders>
            <w:vAlign w:val="center"/>
          </w:tcPr>
          <w:p w:rsidR="00696FA4" w:rsidRDefault="00696FA4">
            <w:pPr>
              <w:spacing w:line="300" w:lineRule="exact"/>
              <w:ind w:leftChars="50" w:left="105" w:right="210"/>
              <w:jc w:val="center"/>
              <w:textAlignment w:val="center"/>
              <w:rPr>
                <w:rFonts w:eastAsia="仿宋_GB2312" w:cs="Times New Roman"/>
                <w:sz w:val="24"/>
                <w:szCs w:val="24"/>
              </w:rPr>
            </w:pPr>
            <w:r>
              <w:rPr>
                <w:rFonts w:eastAsia="仿宋_GB2312" w:cs="仿宋_GB2312" w:hint="eastAsia"/>
                <w:sz w:val="24"/>
                <w:szCs w:val="24"/>
              </w:rPr>
              <w:t>中药人员</w:t>
            </w:r>
          </w:p>
        </w:tc>
        <w:tc>
          <w:tcPr>
            <w:tcW w:w="840"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right="210"/>
              <w:jc w:val="center"/>
              <w:textAlignment w:val="center"/>
              <w:rPr>
                <w:rFonts w:eastAsia="仿宋_GB2312" w:cs="Times New Roman"/>
                <w:sz w:val="24"/>
                <w:szCs w:val="24"/>
              </w:rPr>
            </w:pPr>
            <w:r>
              <w:rPr>
                <w:rFonts w:eastAsia="仿宋_GB2312"/>
                <w:sz w:val="24"/>
                <w:szCs w:val="24"/>
              </w:rPr>
              <w:t xml:space="preserve"> </w:t>
            </w:r>
            <w:r>
              <w:rPr>
                <w:rFonts w:eastAsia="仿宋_GB2312" w:cs="仿宋_GB2312" w:hint="eastAsia"/>
                <w:sz w:val="24"/>
                <w:szCs w:val="24"/>
              </w:rPr>
              <w:t>专技</w:t>
            </w:r>
          </w:p>
        </w:tc>
        <w:tc>
          <w:tcPr>
            <w:tcW w:w="780" w:type="dxa"/>
            <w:tcBorders>
              <w:top w:val="single" w:sz="4" w:space="0" w:color="auto"/>
              <w:left w:val="single" w:sz="4" w:space="0" w:color="000000"/>
              <w:bottom w:val="single" w:sz="4" w:space="0" w:color="000000"/>
              <w:right w:val="single" w:sz="4" w:space="0" w:color="000000"/>
            </w:tcBorders>
            <w:vAlign w:val="center"/>
          </w:tcPr>
          <w:p w:rsidR="00696FA4" w:rsidRDefault="00696FA4">
            <w:pPr>
              <w:spacing w:line="300" w:lineRule="exact"/>
              <w:ind w:right="210" w:firstLineChars="50" w:firstLine="120"/>
              <w:textAlignment w:val="center"/>
              <w:rPr>
                <w:rFonts w:eastAsia="仿宋_GB2312"/>
                <w:sz w:val="24"/>
                <w:szCs w:val="24"/>
              </w:rPr>
            </w:pPr>
            <w:r>
              <w:rPr>
                <w:rFonts w:eastAsia="仿宋_GB2312" w:cs="仿宋_GB2312" w:hint="eastAsia"/>
                <w:sz w:val="24"/>
                <w:szCs w:val="24"/>
              </w:rPr>
              <w:t xml:space="preserve">　</w:t>
            </w:r>
            <w:r>
              <w:rPr>
                <w:rFonts w:eastAsia="仿宋_GB2312"/>
                <w:sz w:val="24"/>
                <w:szCs w:val="24"/>
              </w:rPr>
              <w:t>1</w:t>
            </w:r>
          </w:p>
        </w:tc>
        <w:tc>
          <w:tcPr>
            <w:tcW w:w="1181"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right="210"/>
              <w:jc w:val="center"/>
              <w:textAlignment w:val="center"/>
              <w:rPr>
                <w:rFonts w:eastAsia="仿宋_GB2312" w:cs="Times New Roman"/>
                <w:sz w:val="24"/>
                <w:szCs w:val="24"/>
              </w:rPr>
            </w:pPr>
            <w:r>
              <w:rPr>
                <w:rFonts w:eastAsia="仿宋_GB2312" w:cs="仿宋_GB2312" w:hint="eastAsia"/>
                <w:sz w:val="24"/>
                <w:szCs w:val="24"/>
              </w:rPr>
              <w:t>全日制普通高校研究生</w:t>
            </w:r>
            <w:r>
              <w:rPr>
                <w:rFonts w:eastAsia="仿宋_GB2312"/>
                <w:sz w:val="24"/>
                <w:szCs w:val="24"/>
              </w:rPr>
              <w:t>/</w:t>
            </w:r>
            <w:r>
              <w:rPr>
                <w:rFonts w:eastAsia="仿宋_GB2312" w:cs="仿宋_GB2312" w:hint="eastAsia"/>
                <w:sz w:val="24"/>
                <w:szCs w:val="24"/>
              </w:rPr>
              <w:t>硕士及以上</w:t>
            </w:r>
          </w:p>
        </w:tc>
        <w:tc>
          <w:tcPr>
            <w:tcW w:w="2689"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leftChars="50" w:left="105" w:right="210"/>
              <w:jc w:val="center"/>
              <w:textAlignment w:val="center"/>
              <w:rPr>
                <w:rFonts w:eastAsia="仿宋_GB2312" w:cs="Times New Roman"/>
                <w:sz w:val="24"/>
                <w:szCs w:val="24"/>
              </w:rPr>
            </w:pPr>
            <w:r>
              <w:rPr>
                <w:rFonts w:eastAsia="仿宋_GB2312" w:cs="仿宋_GB2312" w:hint="eastAsia"/>
                <w:sz w:val="24"/>
                <w:szCs w:val="24"/>
              </w:rPr>
              <w:t>中药学</w:t>
            </w:r>
          </w:p>
        </w:tc>
        <w:tc>
          <w:tcPr>
            <w:tcW w:w="1470"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right="210"/>
              <w:textAlignment w:val="center"/>
              <w:rPr>
                <w:rFonts w:eastAsia="仿宋_GB2312" w:cs="Times New Roman"/>
                <w:sz w:val="24"/>
                <w:szCs w:val="24"/>
              </w:rPr>
            </w:pPr>
            <w:r>
              <w:rPr>
                <w:rFonts w:eastAsia="仿宋_GB2312"/>
                <w:sz w:val="24"/>
                <w:szCs w:val="24"/>
              </w:rPr>
              <w:t>2019</w:t>
            </w:r>
            <w:r>
              <w:rPr>
                <w:rFonts w:eastAsia="仿宋_GB2312" w:cs="仿宋_GB2312" w:hint="eastAsia"/>
                <w:sz w:val="24"/>
                <w:szCs w:val="24"/>
              </w:rPr>
              <w:t>年应届毕业生，户籍不限。</w:t>
            </w:r>
          </w:p>
        </w:tc>
        <w:tc>
          <w:tcPr>
            <w:tcW w:w="1035"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left="210" w:right="210"/>
              <w:jc w:val="center"/>
              <w:textAlignment w:val="center"/>
              <w:rPr>
                <w:rFonts w:eastAsia="仿宋_GB2312"/>
                <w:sz w:val="24"/>
                <w:szCs w:val="24"/>
              </w:rPr>
            </w:pPr>
            <w:r>
              <w:rPr>
                <w:rFonts w:eastAsia="仿宋_GB2312"/>
                <w:sz w:val="24"/>
                <w:szCs w:val="24"/>
              </w:rPr>
              <w:t>100%</w:t>
            </w:r>
          </w:p>
        </w:tc>
        <w:tc>
          <w:tcPr>
            <w:tcW w:w="1770"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rightChars="-11" w:right="-23"/>
              <w:jc w:val="center"/>
              <w:textAlignment w:val="center"/>
              <w:rPr>
                <w:rFonts w:eastAsia="仿宋_GB2312"/>
                <w:sz w:val="24"/>
                <w:szCs w:val="24"/>
              </w:rPr>
            </w:pPr>
            <w:r>
              <w:rPr>
                <w:rFonts w:eastAsia="仿宋_GB2312"/>
                <w:sz w:val="24"/>
                <w:szCs w:val="24"/>
              </w:rPr>
              <w:t>0576-88825619</w:t>
            </w:r>
            <w:r>
              <w:rPr>
                <w:rFonts w:eastAsia="仿宋_GB2312"/>
                <w:sz w:val="24"/>
                <w:szCs w:val="24"/>
              </w:rPr>
              <w:br/>
              <w:t>13606665666</w:t>
            </w:r>
          </w:p>
        </w:tc>
        <w:tc>
          <w:tcPr>
            <w:tcW w:w="1571" w:type="dxa"/>
            <w:tcBorders>
              <w:top w:val="single" w:sz="4" w:space="0" w:color="auto"/>
              <w:left w:val="single" w:sz="4" w:space="0" w:color="000000"/>
              <w:bottom w:val="single" w:sz="4" w:space="0" w:color="000000"/>
              <w:right w:val="single" w:sz="4" w:space="0" w:color="000000"/>
            </w:tcBorders>
            <w:vAlign w:val="center"/>
          </w:tcPr>
          <w:p w:rsidR="00696FA4" w:rsidRDefault="00696FA4">
            <w:pPr>
              <w:widowControl/>
              <w:spacing w:line="300" w:lineRule="exact"/>
              <w:ind w:left="210" w:right="210"/>
              <w:jc w:val="center"/>
              <w:textAlignment w:val="center"/>
              <w:rPr>
                <w:rFonts w:eastAsia="仿宋_GB2312" w:cs="Times New Roman"/>
                <w:sz w:val="24"/>
                <w:szCs w:val="24"/>
              </w:rPr>
            </w:pPr>
            <w:r>
              <w:rPr>
                <w:rFonts w:eastAsia="仿宋_GB2312" w:cs="仿宋_GB2312" w:hint="eastAsia"/>
                <w:sz w:val="24"/>
                <w:szCs w:val="24"/>
              </w:rPr>
              <w:t>开考比例不受限制。</w:t>
            </w:r>
          </w:p>
        </w:tc>
      </w:tr>
    </w:tbl>
    <w:p w:rsidR="00696FA4" w:rsidRDefault="00696FA4" w:rsidP="003E3991">
      <w:pPr>
        <w:adjustRightInd w:val="0"/>
        <w:snapToGrid w:val="0"/>
        <w:spacing w:line="440" w:lineRule="exact"/>
        <w:ind w:rightChars="8" w:right="17"/>
        <w:rPr>
          <w:rFonts w:ascii="宋体" w:cs="Times New Roman"/>
          <w:sz w:val="28"/>
          <w:szCs w:val="28"/>
        </w:rPr>
        <w:sectPr w:rsidR="00696FA4">
          <w:headerReference w:type="default" r:id="rId7"/>
          <w:footerReference w:type="default" r:id="rId8"/>
          <w:pgSz w:w="16838" w:h="11906" w:orient="landscape"/>
          <w:pgMar w:top="1531" w:right="1308" w:bottom="1417" w:left="1050" w:header="851" w:footer="1587" w:gutter="0"/>
          <w:cols w:space="0"/>
          <w:docGrid w:type="lines" w:linePitch="312"/>
        </w:sectPr>
      </w:pPr>
    </w:p>
    <w:p w:rsidR="00696FA4" w:rsidRDefault="00696FA4" w:rsidP="003E3991">
      <w:pPr>
        <w:widowControl/>
        <w:spacing w:line="300" w:lineRule="exact"/>
        <w:ind w:right="210"/>
        <w:jc w:val="left"/>
        <w:textAlignment w:val="center"/>
      </w:pPr>
      <w:bookmarkStart w:id="0" w:name="_GoBack"/>
      <w:bookmarkEnd w:id="0"/>
    </w:p>
    <w:sectPr w:rsidR="00696FA4" w:rsidSect="003E3991">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A4" w:rsidRDefault="00696FA4" w:rsidP="00313C71">
      <w:r>
        <w:separator/>
      </w:r>
    </w:p>
  </w:endnote>
  <w:endnote w:type="continuationSeparator" w:id="0">
    <w:p w:rsidR="00696FA4" w:rsidRDefault="00696FA4" w:rsidP="00313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A4" w:rsidRDefault="00696FA4">
    <w:pPr>
      <w:pStyle w:val="Footer"/>
      <w:ind w:left="210" w:right="210"/>
      <w:jc w:val="center"/>
      <w:rPr>
        <w:rFonts w:cs="Times New Roman"/>
      </w:rPr>
    </w:pPr>
    <w:r>
      <w:rPr>
        <w:rStyle w:val="PageNumber"/>
        <w:rFonts w:ascii="仿宋_GB2312" w:eastAsia="仿宋_GB2312" w:cs="Calibri"/>
        <w:sz w:val="28"/>
        <w:szCs w:val="28"/>
      </w:rPr>
      <w:t>—</w:t>
    </w:r>
    <w:r>
      <w:rPr>
        <w:rStyle w:val="PageNumber"/>
        <w:rFonts w:ascii="仿宋_GB2312" w:eastAsia="仿宋_GB2312" w:cs="仿宋_GB2312"/>
        <w:sz w:val="28"/>
        <w:szCs w:val="28"/>
      </w:rPr>
      <w:t xml:space="preserve"> </w:t>
    </w:r>
    <w:r>
      <w:rPr>
        <w:rStyle w:val="PageNumber"/>
        <w:rFonts w:ascii="仿宋_GB2312" w:eastAsia="仿宋_GB2312" w:hAnsi="仿宋_GB2312" w:cs="仿宋_GB2312"/>
        <w:sz w:val="28"/>
        <w:szCs w:val="28"/>
      </w:rPr>
      <w:fldChar w:fldCharType="begin"/>
    </w:r>
    <w:r>
      <w:rPr>
        <w:rStyle w:val="PageNumber"/>
        <w:rFonts w:ascii="仿宋_GB2312" w:eastAsia="仿宋_GB2312" w:hAnsi="仿宋_GB2312" w:cs="仿宋_GB2312"/>
        <w:sz w:val="28"/>
        <w:szCs w:val="28"/>
      </w:rPr>
      <w:instrText xml:space="preserve">PAGE  </w:instrText>
    </w:r>
    <w:r>
      <w:rPr>
        <w:rStyle w:val="PageNumber"/>
        <w:rFonts w:ascii="仿宋_GB2312" w:eastAsia="仿宋_GB2312" w:hAnsi="仿宋_GB2312" w:cs="仿宋_GB2312"/>
        <w:sz w:val="28"/>
        <w:szCs w:val="28"/>
      </w:rPr>
      <w:fldChar w:fldCharType="separate"/>
    </w:r>
    <w:r>
      <w:rPr>
        <w:rStyle w:val="PageNumber"/>
        <w:rFonts w:ascii="仿宋_GB2312" w:eastAsia="仿宋_GB2312" w:hAnsi="仿宋_GB2312" w:cs="仿宋_GB2312"/>
        <w:noProof/>
        <w:sz w:val="28"/>
        <w:szCs w:val="28"/>
      </w:rPr>
      <w:t>2</w:t>
    </w:r>
    <w:r>
      <w:rPr>
        <w:rStyle w:val="PageNumber"/>
        <w:rFonts w:ascii="仿宋_GB2312" w:eastAsia="仿宋_GB2312" w:hAnsi="仿宋_GB2312" w:cs="仿宋_GB2312"/>
        <w:sz w:val="28"/>
        <w:szCs w:val="28"/>
      </w:rPr>
      <w:fldChar w:fldCharType="end"/>
    </w:r>
    <w:r>
      <w:rPr>
        <w:rStyle w:val="PageNumber"/>
        <w:rFonts w:ascii="仿宋_GB2312" w:eastAsia="仿宋_GB2312" w:cs="仿宋_GB2312"/>
        <w:sz w:val="28"/>
        <w:szCs w:val="28"/>
      </w:rPr>
      <w:t xml:space="preserve"> </w:t>
    </w:r>
    <w:r>
      <w:rPr>
        <w:rStyle w:val="PageNumber"/>
        <w:rFonts w:ascii="仿宋_GB2312" w:eastAsia="仿宋_GB2312" w:cs="Calibri"/>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A4" w:rsidRDefault="00696FA4" w:rsidP="00313C71">
      <w:r>
        <w:separator/>
      </w:r>
    </w:p>
  </w:footnote>
  <w:footnote w:type="continuationSeparator" w:id="0">
    <w:p w:rsidR="00696FA4" w:rsidRDefault="00696FA4" w:rsidP="00313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A4" w:rsidRDefault="00696FA4">
    <w:pPr>
      <w:ind w:left="210" w:right="21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62B4C6"/>
    <w:multiLevelType w:val="singleLevel"/>
    <w:tmpl w:val="CE62B4C6"/>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D1E"/>
    <w:rsid w:val="00001CD0"/>
    <w:rsid w:val="00003DE6"/>
    <w:rsid w:val="000460F5"/>
    <w:rsid w:val="00060708"/>
    <w:rsid w:val="00077B0B"/>
    <w:rsid w:val="000938CD"/>
    <w:rsid w:val="0009562F"/>
    <w:rsid w:val="00097D41"/>
    <w:rsid w:val="000C7202"/>
    <w:rsid w:val="000D5038"/>
    <w:rsid w:val="00110484"/>
    <w:rsid w:val="00114996"/>
    <w:rsid w:val="001179CB"/>
    <w:rsid w:val="00151FA4"/>
    <w:rsid w:val="00157BEE"/>
    <w:rsid w:val="00170A97"/>
    <w:rsid w:val="001B348F"/>
    <w:rsid w:val="001C2AF3"/>
    <w:rsid w:val="001C62D0"/>
    <w:rsid w:val="001D32BC"/>
    <w:rsid w:val="001E480A"/>
    <w:rsid w:val="00210D6F"/>
    <w:rsid w:val="00215455"/>
    <w:rsid w:val="00227812"/>
    <w:rsid w:val="0026048B"/>
    <w:rsid w:val="002B5E28"/>
    <w:rsid w:val="002C55C8"/>
    <w:rsid w:val="002D697F"/>
    <w:rsid w:val="002E14A1"/>
    <w:rsid w:val="002F3D39"/>
    <w:rsid w:val="002F509C"/>
    <w:rsid w:val="002F7912"/>
    <w:rsid w:val="00306111"/>
    <w:rsid w:val="00313C71"/>
    <w:rsid w:val="00321D38"/>
    <w:rsid w:val="003549BB"/>
    <w:rsid w:val="00356C39"/>
    <w:rsid w:val="0036393B"/>
    <w:rsid w:val="003717CA"/>
    <w:rsid w:val="003A139C"/>
    <w:rsid w:val="003A22E8"/>
    <w:rsid w:val="003A4867"/>
    <w:rsid w:val="003E3991"/>
    <w:rsid w:val="003F07D6"/>
    <w:rsid w:val="004019DF"/>
    <w:rsid w:val="00415475"/>
    <w:rsid w:val="00432F07"/>
    <w:rsid w:val="0044768B"/>
    <w:rsid w:val="00447F7E"/>
    <w:rsid w:val="00474E4D"/>
    <w:rsid w:val="00496C8A"/>
    <w:rsid w:val="004B443C"/>
    <w:rsid w:val="004C4E84"/>
    <w:rsid w:val="004D052B"/>
    <w:rsid w:val="004D0AAC"/>
    <w:rsid w:val="004F58AF"/>
    <w:rsid w:val="00523748"/>
    <w:rsid w:val="00525FCA"/>
    <w:rsid w:val="00535395"/>
    <w:rsid w:val="0053627F"/>
    <w:rsid w:val="00536D6E"/>
    <w:rsid w:val="005462B0"/>
    <w:rsid w:val="00551E2B"/>
    <w:rsid w:val="00570321"/>
    <w:rsid w:val="00571F07"/>
    <w:rsid w:val="005A23B3"/>
    <w:rsid w:val="005B25F7"/>
    <w:rsid w:val="005C1D00"/>
    <w:rsid w:val="005E153D"/>
    <w:rsid w:val="005E3FFC"/>
    <w:rsid w:val="005E40B1"/>
    <w:rsid w:val="005E7EFE"/>
    <w:rsid w:val="005F1919"/>
    <w:rsid w:val="005F3546"/>
    <w:rsid w:val="0060680E"/>
    <w:rsid w:val="00614897"/>
    <w:rsid w:val="00623957"/>
    <w:rsid w:val="00663790"/>
    <w:rsid w:val="00666E2C"/>
    <w:rsid w:val="00683B31"/>
    <w:rsid w:val="006940CA"/>
    <w:rsid w:val="00695F74"/>
    <w:rsid w:val="00696FA4"/>
    <w:rsid w:val="006977CE"/>
    <w:rsid w:val="006A6350"/>
    <w:rsid w:val="006B39EF"/>
    <w:rsid w:val="006B3E3F"/>
    <w:rsid w:val="006C5C86"/>
    <w:rsid w:val="006E078B"/>
    <w:rsid w:val="00700C7D"/>
    <w:rsid w:val="00722B56"/>
    <w:rsid w:val="007319FD"/>
    <w:rsid w:val="0074601D"/>
    <w:rsid w:val="007704A7"/>
    <w:rsid w:val="0077178D"/>
    <w:rsid w:val="007C3066"/>
    <w:rsid w:val="007C3BAD"/>
    <w:rsid w:val="007F2485"/>
    <w:rsid w:val="007F5680"/>
    <w:rsid w:val="007F57AC"/>
    <w:rsid w:val="0085433E"/>
    <w:rsid w:val="00862AD0"/>
    <w:rsid w:val="008F7132"/>
    <w:rsid w:val="00952ABE"/>
    <w:rsid w:val="00955C46"/>
    <w:rsid w:val="00967885"/>
    <w:rsid w:val="00967ADA"/>
    <w:rsid w:val="00970899"/>
    <w:rsid w:val="0097460E"/>
    <w:rsid w:val="009817AC"/>
    <w:rsid w:val="009A6712"/>
    <w:rsid w:val="009C471B"/>
    <w:rsid w:val="00A02E49"/>
    <w:rsid w:val="00A07244"/>
    <w:rsid w:val="00A152AF"/>
    <w:rsid w:val="00A270A3"/>
    <w:rsid w:val="00A27DFD"/>
    <w:rsid w:val="00A338ED"/>
    <w:rsid w:val="00A42075"/>
    <w:rsid w:val="00A520A5"/>
    <w:rsid w:val="00A54D63"/>
    <w:rsid w:val="00A55B0F"/>
    <w:rsid w:val="00A67B28"/>
    <w:rsid w:val="00A7130D"/>
    <w:rsid w:val="00A72475"/>
    <w:rsid w:val="00A824BD"/>
    <w:rsid w:val="00A872A5"/>
    <w:rsid w:val="00A944AF"/>
    <w:rsid w:val="00A946C7"/>
    <w:rsid w:val="00A94FED"/>
    <w:rsid w:val="00AA260C"/>
    <w:rsid w:val="00AA5D02"/>
    <w:rsid w:val="00AE0C7A"/>
    <w:rsid w:val="00AE70DF"/>
    <w:rsid w:val="00AF7E71"/>
    <w:rsid w:val="00B028C3"/>
    <w:rsid w:val="00B06474"/>
    <w:rsid w:val="00B12573"/>
    <w:rsid w:val="00B21206"/>
    <w:rsid w:val="00B32516"/>
    <w:rsid w:val="00B4066E"/>
    <w:rsid w:val="00B50C52"/>
    <w:rsid w:val="00B610CB"/>
    <w:rsid w:val="00B70A85"/>
    <w:rsid w:val="00B809DB"/>
    <w:rsid w:val="00B87823"/>
    <w:rsid w:val="00B93774"/>
    <w:rsid w:val="00BB0DAE"/>
    <w:rsid w:val="00BB6050"/>
    <w:rsid w:val="00BB6CC2"/>
    <w:rsid w:val="00BC10EC"/>
    <w:rsid w:val="00C11449"/>
    <w:rsid w:val="00C17383"/>
    <w:rsid w:val="00C2162E"/>
    <w:rsid w:val="00C4070B"/>
    <w:rsid w:val="00C576D1"/>
    <w:rsid w:val="00C6632B"/>
    <w:rsid w:val="00C672A5"/>
    <w:rsid w:val="00C957ED"/>
    <w:rsid w:val="00CB5BE7"/>
    <w:rsid w:val="00CC3C7F"/>
    <w:rsid w:val="00CD5432"/>
    <w:rsid w:val="00CE11D0"/>
    <w:rsid w:val="00CF786B"/>
    <w:rsid w:val="00D25BEA"/>
    <w:rsid w:val="00D323BE"/>
    <w:rsid w:val="00D5785F"/>
    <w:rsid w:val="00D63190"/>
    <w:rsid w:val="00D7231B"/>
    <w:rsid w:val="00D7705C"/>
    <w:rsid w:val="00D87684"/>
    <w:rsid w:val="00DA4374"/>
    <w:rsid w:val="00DA5D24"/>
    <w:rsid w:val="00DE4E77"/>
    <w:rsid w:val="00DE5595"/>
    <w:rsid w:val="00E1608E"/>
    <w:rsid w:val="00E1628A"/>
    <w:rsid w:val="00E31D4C"/>
    <w:rsid w:val="00E441FE"/>
    <w:rsid w:val="00E74F8D"/>
    <w:rsid w:val="00EA36B3"/>
    <w:rsid w:val="00EA73E7"/>
    <w:rsid w:val="00EC104C"/>
    <w:rsid w:val="00EF44FF"/>
    <w:rsid w:val="00F00FA0"/>
    <w:rsid w:val="00F1251F"/>
    <w:rsid w:val="00F23F45"/>
    <w:rsid w:val="00F34AE8"/>
    <w:rsid w:val="00F379D3"/>
    <w:rsid w:val="00F40CBB"/>
    <w:rsid w:val="00F51042"/>
    <w:rsid w:val="00F63D06"/>
    <w:rsid w:val="00F77831"/>
    <w:rsid w:val="00F85275"/>
    <w:rsid w:val="00F915D5"/>
    <w:rsid w:val="00FA1416"/>
    <w:rsid w:val="00FC33F4"/>
    <w:rsid w:val="00FF190F"/>
    <w:rsid w:val="00FF1D1E"/>
    <w:rsid w:val="00FF5596"/>
    <w:rsid w:val="01207196"/>
    <w:rsid w:val="04227F56"/>
    <w:rsid w:val="0AA109E4"/>
    <w:rsid w:val="0B7A631C"/>
    <w:rsid w:val="1B831C69"/>
    <w:rsid w:val="1C491A02"/>
    <w:rsid w:val="1C6D5E47"/>
    <w:rsid w:val="1CD65BC9"/>
    <w:rsid w:val="227518ED"/>
    <w:rsid w:val="2311336E"/>
    <w:rsid w:val="2809556B"/>
    <w:rsid w:val="2C134D0F"/>
    <w:rsid w:val="300647C5"/>
    <w:rsid w:val="303C3247"/>
    <w:rsid w:val="324475A6"/>
    <w:rsid w:val="35B07967"/>
    <w:rsid w:val="391078F3"/>
    <w:rsid w:val="40B61925"/>
    <w:rsid w:val="424A45A6"/>
    <w:rsid w:val="4A680457"/>
    <w:rsid w:val="4C1A581F"/>
    <w:rsid w:val="5186789F"/>
    <w:rsid w:val="5F8D250E"/>
    <w:rsid w:val="6CF16EDB"/>
    <w:rsid w:val="6D6D7E70"/>
    <w:rsid w:val="6E5660F5"/>
    <w:rsid w:val="6ED557BA"/>
    <w:rsid w:val="73B81282"/>
    <w:rsid w:val="7E6E53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7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3C71"/>
    <w:rPr>
      <w:sz w:val="18"/>
      <w:szCs w:val="18"/>
    </w:rPr>
  </w:style>
  <w:style w:type="character" w:customStyle="1" w:styleId="BalloonTextChar">
    <w:name w:val="Balloon Text Char"/>
    <w:basedOn w:val="DefaultParagraphFont"/>
    <w:link w:val="BalloonText"/>
    <w:uiPriority w:val="99"/>
    <w:semiHidden/>
    <w:locked/>
    <w:rsid w:val="00313C71"/>
    <w:rPr>
      <w:rFonts w:cs="Times New Roman"/>
      <w:sz w:val="2"/>
      <w:szCs w:val="2"/>
    </w:rPr>
  </w:style>
  <w:style w:type="paragraph" w:styleId="Footer">
    <w:name w:val="footer"/>
    <w:basedOn w:val="Normal"/>
    <w:link w:val="FooterChar"/>
    <w:uiPriority w:val="99"/>
    <w:semiHidden/>
    <w:rsid w:val="00313C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13C71"/>
    <w:rPr>
      <w:rFonts w:ascii="Calibri" w:eastAsia="宋体" w:hAnsi="Calibri" w:cs="Calibri"/>
      <w:sz w:val="18"/>
      <w:szCs w:val="18"/>
    </w:rPr>
  </w:style>
  <w:style w:type="paragraph" w:styleId="Header">
    <w:name w:val="header"/>
    <w:basedOn w:val="Normal"/>
    <w:link w:val="HeaderChar"/>
    <w:uiPriority w:val="99"/>
    <w:semiHidden/>
    <w:rsid w:val="00313C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13C71"/>
    <w:rPr>
      <w:rFonts w:ascii="Calibri" w:eastAsia="宋体" w:hAnsi="Calibri" w:cs="Calibri"/>
      <w:sz w:val="18"/>
      <w:szCs w:val="18"/>
    </w:rPr>
  </w:style>
  <w:style w:type="paragraph" w:styleId="NormalWeb">
    <w:name w:val="Normal (Web)"/>
    <w:basedOn w:val="Normal"/>
    <w:uiPriority w:val="99"/>
    <w:rsid w:val="00313C71"/>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13C71"/>
    <w:rPr>
      <w:rFonts w:cs="Times New Roman"/>
    </w:rPr>
  </w:style>
  <w:style w:type="character" w:styleId="Hyperlink">
    <w:name w:val="Hyperlink"/>
    <w:basedOn w:val="DefaultParagraphFont"/>
    <w:uiPriority w:val="99"/>
    <w:semiHidden/>
    <w:rsid w:val="00313C71"/>
    <w:rPr>
      <w:rFonts w:cs="Times New Roman"/>
      <w:color w:val="000000"/>
      <w:u w:val="none"/>
    </w:rPr>
  </w:style>
  <w:style w:type="paragraph" w:customStyle="1" w:styleId="p0">
    <w:name w:val="p0"/>
    <w:basedOn w:val="Normal"/>
    <w:uiPriority w:val="99"/>
    <w:rsid w:val="00313C71"/>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86</Words>
  <Characters>494</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lb</cp:lastModifiedBy>
  <cp:revision>28</cp:revision>
  <cp:lastPrinted>2018-11-08T07:11:00Z</cp:lastPrinted>
  <dcterms:created xsi:type="dcterms:W3CDTF">2018-07-04T09:55:00Z</dcterms:created>
  <dcterms:modified xsi:type="dcterms:W3CDTF">2018-11-09T01:26:00Z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