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5"/>
        <w:rPr>
          <w:rFonts w:ascii="新宋体" w:hAnsi="新宋体" w:eastAsia="新宋体" w:cs="新宋体"/>
          <w:b w:val="0"/>
          <w:i w:val="0"/>
          <w:caps w:val="0"/>
          <w:color w:val="333333"/>
          <w:spacing w:val="0"/>
          <w:sz w:val="15"/>
          <w:szCs w:val="15"/>
        </w:rPr>
      </w:pPr>
      <w:bookmarkStart w:id="0" w:name="_GoBack"/>
      <w:r>
        <w:rPr>
          <w:rFonts w:ascii="仿宋_GB2312" w:hAnsi="新宋体" w:eastAsia="仿宋_GB2312" w:cs="仿宋_GB2312"/>
          <w:b w:val="0"/>
          <w:i w:val="0"/>
          <w:caps w:val="0"/>
          <w:color w:val="000000"/>
          <w:spacing w:val="0"/>
          <w:sz w:val="32"/>
          <w:szCs w:val="32"/>
          <w:bdr w:val="none" w:color="auto" w:sz="0" w:space="0"/>
          <w:shd w:val="clear" w:fill="FFFFFF"/>
        </w:rPr>
        <w:t>具体招聘职位、人数和招聘条件</w:t>
      </w:r>
      <w:bookmarkEnd w:id="0"/>
      <w:r>
        <w:rPr>
          <w:rFonts w:ascii="仿宋_GB2312" w:hAnsi="新宋体" w:eastAsia="仿宋_GB2312" w:cs="仿宋_GB2312"/>
          <w:b w:val="0"/>
          <w:i w:val="0"/>
          <w:caps w:val="0"/>
          <w:color w:val="000000"/>
          <w:spacing w:val="0"/>
          <w:sz w:val="32"/>
          <w:szCs w:val="32"/>
          <w:bdr w:val="none" w:color="auto" w:sz="0" w:space="0"/>
          <w:shd w:val="clear" w:fill="FFFFFF"/>
        </w:rPr>
        <w:t>：</w:t>
      </w:r>
    </w:p>
    <w:tbl>
      <w:tblPr>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30"/>
        <w:gridCol w:w="840"/>
        <w:gridCol w:w="2385"/>
        <w:gridCol w:w="3568"/>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70" w:hRule="atLeast"/>
        </w:trPr>
        <w:tc>
          <w:tcPr>
            <w:tcW w:w="1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招聘岗位</w:t>
            </w:r>
          </w:p>
        </w:tc>
        <w:tc>
          <w:tcPr>
            <w:tcW w:w="84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指标</w:t>
            </w:r>
          </w:p>
        </w:tc>
        <w:tc>
          <w:tcPr>
            <w:tcW w:w="238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专业</w:t>
            </w:r>
          </w:p>
        </w:tc>
        <w:tc>
          <w:tcPr>
            <w:tcW w:w="3568"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资格条件</w:t>
            </w:r>
          </w:p>
        </w:tc>
        <w:tc>
          <w:tcPr>
            <w:tcW w:w="1232"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耳鼻咽喉医生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1</w:t>
            </w:r>
          </w:p>
        </w:tc>
        <w:tc>
          <w:tcPr>
            <w:tcW w:w="2385" w:type="dxa"/>
            <w:tcBorders>
              <w:top w:val="nil"/>
              <w:left w:val="nil"/>
              <w:bottom w:val="single" w:color="auto"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临床医学、耳鼻咽喉科学</w:t>
            </w:r>
          </w:p>
        </w:tc>
        <w:tc>
          <w:tcPr>
            <w:tcW w:w="3568" w:type="dxa"/>
            <w:vMerge w:val="restart"/>
            <w:tcBorders>
              <w:top w:val="nil"/>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2017年全日制普通高校本科及以上学历应届毕业生或本科及以上学历的历届生（</w:t>
            </w:r>
            <w:r>
              <w:rPr>
                <w:rFonts w:hint="default" w:ascii="仿宋_GB2312" w:hAnsi="新宋体" w:eastAsia="仿宋_GB2312" w:cs="仿宋_GB2312"/>
                <w:b w:val="0"/>
                <w:i w:val="0"/>
                <w:caps w:val="0"/>
                <w:color w:val="333333"/>
                <w:spacing w:val="0"/>
                <w:kern w:val="0"/>
                <w:sz w:val="24"/>
                <w:szCs w:val="24"/>
                <w:bdr w:val="none" w:color="auto" w:sz="0" w:space="0"/>
                <w:lang w:val="en-US" w:eastAsia="zh-CN" w:bidi="ar"/>
              </w:rPr>
              <w:t>其中2015年及以前毕业的</w:t>
            </w: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历届生需具有相应专业执业医师资格证书）。</w:t>
            </w:r>
          </w:p>
        </w:tc>
        <w:tc>
          <w:tcPr>
            <w:tcW w:w="1232" w:type="dxa"/>
            <w:vMerge w:val="restart"/>
            <w:tcBorders>
              <w:top w:val="nil"/>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浙江省生源或户籍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呼吸内科医生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1</w:t>
            </w:r>
          </w:p>
        </w:tc>
        <w:tc>
          <w:tcPr>
            <w:tcW w:w="2385" w:type="dxa"/>
            <w:tcBorders>
              <w:top w:val="nil"/>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临床医学、内科学</w:t>
            </w:r>
          </w:p>
        </w:tc>
        <w:tc>
          <w:tcPr>
            <w:tcW w:w="3568"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c>
          <w:tcPr>
            <w:tcW w:w="1232"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75"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血管外科医生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1</w:t>
            </w:r>
          </w:p>
        </w:tc>
        <w:tc>
          <w:tcPr>
            <w:tcW w:w="2385" w:type="dxa"/>
            <w:tcBorders>
              <w:top w:val="single" w:color="000000" w:sz="4" w:space="0"/>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临床医学、外科学</w:t>
            </w:r>
          </w:p>
        </w:tc>
        <w:tc>
          <w:tcPr>
            <w:tcW w:w="3568"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c>
          <w:tcPr>
            <w:tcW w:w="1232"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胸心外科医生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1</w:t>
            </w:r>
          </w:p>
        </w:tc>
        <w:tc>
          <w:tcPr>
            <w:tcW w:w="2385" w:type="dxa"/>
            <w:tcBorders>
              <w:top w:val="single" w:color="000000" w:sz="4" w:space="0"/>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临床医学、外科学</w:t>
            </w:r>
          </w:p>
        </w:tc>
        <w:tc>
          <w:tcPr>
            <w:tcW w:w="3568"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c>
          <w:tcPr>
            <w:tcW w:w="1232"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急诊重症医生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2</w:t>
            </w:r>
          </w:p>
        </w:tc>
        <w:tc>
          <w:tcPr>
            <w:tcW w:w="2385" w:type="dxa"/>
            <w:tcBorders>
              <w:top w:val="single" w:color="000000" w:sz="4" w:space="0"/>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临床医学、内科学、急诊医学</w:t>
            </w:r>
          </w:p>
        </w:tc>
        <w:tc>
          <w:tcPr>
            <w:tcW w:w="3568"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c>
          <w:tcPr>
            <w:tcW w:w="1232"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80"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精神卫生科医生</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1</w:t>
            </w:r>
          </w:p>
        </w:tc>
        <w:tc>
          <w:tcPr>
            <w:tcW w:w="2385" w:type="dxa"/>
            <w:tcBorders>
              <w:top w:val="single" w:color="000000" w:sz="4" w:space="0"/>
              <w:left w:val="nil"/>
              <w:bottom w:val="nil"/>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left"/>
              <w:textAlignment w:val="center"/>
            </w:pPr>
            <w:r>
              <w:rPr>
                <w:rFonts w:hint="default" w:ascii="仿宋_GB2312" w:hAnsi="新宋体" w:eastAsia="仿宋_GB2312" w:cs="仿宋_GB2312"/>
                <w:b w:val="0"/>
                <w:i w:val="0"/>
                <w:caps w:val="0"/>
                <w:color w:val="000000"/>
                <w:spacing w:val="0"/>
                <w:kern w:val="0"/>
                <w:sz w:val="24"/>
                <w:szCs w:val="24"/>
                <w:bdr w:val="none" w:color="auto" w:sz="0" w:space="0"/>
                <w:lang w:val="en-US" w:eastAsia="zh-CN" w:bidi="ar"/>
              </w:rPr>
              <w:t>临床医学、精神病与精神卫生学</w:t>
            </w:r>
          </w:p>
        </w:tc>
        <w:tc>
          <w:tcPr>
            <w:tcW w:w="3568"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c>
          <w:tcPr>
            <w:tcW w:w="1232" w:type="dxa"/>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新宋体" w:hAnsi="新宋体" w:eastAsia="新宋体" w:cs="新宋体"/>
                <w:b w:val="0"/>
                <w:i w:val="0"/>
                <w:caps w:val="0"/>
                <w:color w:val="333333"/>
                <w:spacing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183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合计</w:t>
            </w:r>
          </w:p>
        </w:tc>
        <w:tc>
          <w:tcPr>
            <w:tcW w:w="84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textAlignment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7</w:t>
            </w:r>
          </w:p>
        </w:tc>
        <w:tc>
          <w:tcPr>
            <w:tcW w:w="2385" w:type="dxa"/>
            <w:tcBorders>
              <w:top w:val="single" w:color="000000"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 </w:t>
            </w:r>
          </w:p>
        </w:tc>
        <w:tc>
          <w:tcPr>
            <w:tcW w:w="3568" w:type="dxa"/>
            <w:tcBorders>
              <w:top w:val="single" w:color="000000"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 </w:t>
            </w:r>
          </w:p>
        </w:tc>
        <w:tc>
          <w:tcPr>
            <w:tcW w:w="1232" w:type="dxa"/>
            <w:tcBorders>
              <w:top w:val="single" w:color="000000" w:sz="4"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3" w:lineRule="atLeast"/>
              <w:ind w:left="0" w:right="0"/>
              <w:jc w:val="center"/>
            </w:pPr>
            <w:r>
              <w:rPr>
                <w:rFonts w:hint="default" w:ascii="仿宋_GB2312" w:hAnsi="新宋体" w:eastAsia="仿宋_GB2312" w:cs="仿宋_GB2312"/>
                <w:b/>
                <w:i w:val="0"/>
                <w:caps w:val="0"/>
                <w:color w:val="000000"/>
                <w:spacing w:val="0"/>
                <w:kern w:val="0"/>
                <w:sz w:val="24"/>
                <w:szCs w:val="24"/>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20D62"/>
    <w:rsid w:val="39320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2017-09-12T01:39:00Z</dcterms:created>
  <dc:creator>ASUS</dc:creator>
  <cp:lastModifiedBy>ASUS</cp:lastModifiedBy>
  <dcterms:modified xsi:type="dcterms:W3CDTF">2017-09-12T01:39:43Z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