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Style w:val="4"/>
          <w:rFonts w:ascii="Verdana" w:hAnsi="Verdana" w:eastAsia="宋体" w:cs="Verdana"/>
          <w:i w:val="0"/>
          <w:caps w:val="0"/>
          <w:color w:val="333333"/>
          <w:spacing w:val="0"/>
          <w:kern w:val="0"/>
          <w:sz w:val="17"/>
          <w:szCs w:val="17"/>
          <w:shd w:val="clear" w:fill="DAF3FD"/>
          <w:lang w:val="en-US" w:eastAsia="zh-CN" w:bidi="ar"/>
        </w:rPr>
        <w:t>人才引进类别与相关待遇</w:t>
      </w:r>
    </w:p>
    <w:tbl>
      <w:tblPr>
        <w:tblW w:w="9620" w:type="dxa"/>
        <w:tblInd w:w="0" w:type="dxa"/>
        <w:shd w:val="clear" w:color="auto" w:fill="DAF3F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394"/>
        <w:gridCol w:w="788"/>
        <w:gridCol w:w="876"/>
        <w:gridCol w:w="993"/>
        <w:gridCol w:w="788"/>
        <w:gridCol w:w="788"/>
        <w:gridCol w:w="1198"/>
        <w:gridCol w:w="1007"/>
      </w:tblGrid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bookmarkStart w:id="0" w:name="_GoBack"/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0"/>
                <w:szCs w:val="20"/>
              </w:rPr>
              <w:t>人才类别</w:t>
            </w:r>
          </w:p>
        </w:tc>
        <w:tc>
          <w:tcPr>
            <w:tcW w:w="2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0"/>
                <w:szCs w:val="20"/>
              </w:rPr>
              <w:t>人才范围</w:t>
            </w:r>
          </w:p>
        </w:tc>
        <w:tc>
          <w:tcPr>
            <w:tcW w:w="54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0"/>
                <w:szCs w:val="20"/>
              </w:rPr>
              <w:t>引进待遇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0"/>
                <w:szCs w:val="20"/>
              </w:rPr>
              <w:t>最低服务期</w:t>
            </w: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0"/>
                <w:szCs w:val="20"/>
              </w:rPr>
              <w:t>赠房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0"/>
                <w:szCs w:val="20"/>
              </w:rPr>
              <w:t>或相应购房补贴（单位：万元）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0"/>
                <w:szCs w:val="20"/>
              </w:rPr>
              <w:t>校内过渡房</w:t>
            </w:r>
          </w:p>
        </w:tc>
        <w:tc>
          <w:tcPr>
            <w:tcW w:w="15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0"/>
                <w:szCs w:val="20"/>
              </w:rPr>
              <w:t>科研配套经费（单位：万元）</w:t>
            </w: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0"/>
                <w:szCs w:val="20"/>
              </w:rPr>
              <w:t>岗位待遇</w:t>
            </w: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0"/>
                <w:szCs w:val="20"/>
              </w:rPr>
              <w:t>自然科学</w:t>
            </w:r>
          </w:p>
        </w:tc>
        <w:tc>
          <w:tcPr>
            <w:tcW w:w="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4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0"/>
                <w:szCs w:val="20"/>
              </w:rPr>
              <w:t>人文社科</w:t>
            </w: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0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一类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中国科学院院士、中国工程院院士、中国社科院学部委员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/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2年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200～500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年薪120～150万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二类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长江学者、国家杰青、国千（创新人才长期项目、外专千人项目人才）、万人计划创新与哲学社会科学领军人才、国家教学名师、浙江省特级专家等相当层次人才。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/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120～160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2年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200～800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100～200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基础年薪50万，目标绩效10～50万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三类</w:t>
            </w:r>
          </w:p>
        </w:tc>
        <w:tc>
          <w:tcPr>
            <w:tcW w:w="2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国家优青、国家青年千人、国家万人计划青年拔尖人才、长江学者青年人才、国家百千万人才、国家文化系统“四个一批”人才、中科院“百人计划”人才等相当层次人才。</w:t>
            </w:r>
          </w:p>
        </w:tc>
        <w:tc>
          <w:tcPr>
            <w:tcW w:w="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120 m</w:t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70～90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2年</w:t>
            </w:r>
          </w:p>
        </w:tc>
        <w:tc>
          <w:tcPr>
            <w:tcW w:w="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100～200</w:t>
            </w:r>
          </w:p>
        </w:tc>
        <w:tc>
          <w:tcPr>
            <w:tcW w:w="7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20～50</w:t>
            </w: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基础年薪30万目标绩效10～30万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四类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省“千人计划”（创新项目）、钱江特聘教授以及各省（市）相当层次的人才。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115m</w:t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60～80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2年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50～100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10～50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基础年薪20万，目标绩效5～20万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五类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优秀外国专家（教授、副教授）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免费提供外专住房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/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/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月薪2～10万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六类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优秀教授（具有博士学位）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110 m</w:t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40～60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2年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10～30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10～20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岗位工资，或基础年薪15万，目标绩效5～10万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七类</w:t>
            </w:r>
          </w:p>
        </w:tc>
        <w:tc>
          <w:tcPr>
            <w:tcW w:w="2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优秀博士、博士后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/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15～45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2年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5～15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3～10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岗位工资，或基础年薪10万，加目标绩效5～8万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8年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B1CFB"/>
    <w:rsid w:val="3EDB1C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2017-09-21T10:40:00Z</dcterms:created>
  <dc:creator>ASUS</dc:creator>
  <cp:lastModifiedBy>ASUS</cp:lastModifiedBy>
  <dcterms:modified xsi:type="dcterms:W3CDTF">2017-09-21T10:40:59Z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