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仿宋_GB2312" w:eastAsia="仿宋_GB2312" w:cs="仿宋_GB2312" w:hAnsiTheme="minorHAnsi"/>
          <w:b/>
          <w:color w:val="333333"/>
          <w:kern w:val="0"/>
          <w:sz w:val="30"/>
          <w:szCs w:val="30"/>
          <w:lang w:val="en-US" w:eastAsia="zh-CN" w:bidi="ar"/>
        </w:rPr>
        <w:t>丽水市疾病预防控制中心拟聘用人员基本情况</w:t>
      </w:r>
    </w:p>
    <w:tbl>
      <w:tblPr>
        <w:tblW w:w="8613" w:type="dxa"/>
        <w:jc w:val="center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5"/>
        <w:gridCol w:w="1365"/>
        <w:gridCol w:w="1680"/>
        <w:gridCol w:w="231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孟臻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郑州大学/预防医学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叶建超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1992.5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上海大学/应用化学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Cs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2014.7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9666E"/>
    <w:rsid w:val="2E89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2017-07-13T04:52:00Z</dcterms:created>
  <dc:creator>ASUS</dc:creator>
  <cp:lastModifiedBy>ASUS</cp:lastModifiedBy>
  <dcterms:modified xsi:type="dcterms:W3CDTF">2017-07-13T04:53:07Z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